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3F483">
      <w:pPr>
        <w:spacing w:line="360" w:lineRule="auto"/>
        <w:rPr>
          <w:rFonts w:hint="eastAsia" w:ascii="黑体" w:hAnsi="黑体" w:eastAsia="黑体" w:cs="黑体"/>
          <w:bCs/>
          <w:color w:val="000000"/>
          <w:sz w:val="32"/>
          <w:szCs w:val="32"/>
        </w:rPr>
      </w:pPr>
      <w:bookmarkStart w:id="0" w:name="OLE_LINK6"/>
      <w:r>
        <w:rPr>
          <w:rFonts w:hint="eastAsia" w:ascii="黑体" w:hAnsi="黑体" w:eastAsia="黑体" w:cs="黑体"/>
          <w:bCs/>
          <w:color w:val="000000"/>
          <w:sz w:val="32"/>
          <w:szCs w:val="32"/>
        </w:rPr>
        <w:t>附件</w:t>
      </w:r>
    </w:p>
    <w:p w14:paraId="273807C1">
      <w:pPr>
        <w:spacing w:line="360" w:lineRule="auto"/>
        <w:rPr>
          <w:b/>
          <w:bCs/>
          <w:color w:val="000000"/>
          <w:sz w:val="32"/>
          <w:szCs w:val="32"/>
        </w:rPr>
      </w:pPr>
    </w:p>
    <w:p w14:paraId="2B8E5081">
      <w:pPr>
        <w:spacing w:line="360" w:lineRule="auto"/>
        <w:rPr>
          <w:b/>
          <w:bCs/>
          <w:color w:val="000000"/>
          <w:sz w:val="32"/>
          <w:szCs w:val="32"/>
        </w:rPr>
      </w:pPr>
    </w:p>
    <w:p w14:paraId="0DB33318">
      <w:pPr>
        <w:spacing w:line="360" w:lineRule="auto"/>
        <w:rPr>
          <w:b/>
          <w:bCs/>
          <w:color w:val="000000"/>
          <w:sz w:val="32"/>
          <w:szCs w:val="32"/>
        </w:rPr>
      </w:pPr>
    </w:p>
    <w:p w14:paraId="2EBBC51C">
      <w:pPr>
        <w:spacing w:line="720" w:lineRule="auto"/>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四川省生态环境监测总站</w:t>
      </w:r>
    </w:p>
    <w:p w14:paraId="1B1CB1E8">
      <w:pPr>
        <w:spacing w:line="720" w:lineRule="auto"/>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基于同位素的四川省主要地形“污染源-污染驱动-跨介质传输过程-污染通量与均衡”</w:t>
      </w:r>
    </w:p>
    <w:p w14:paraId="42D185B0">
      <w:pPr>
        <w:spacing w:line="720" w:lineRule="auto"/>
        <w:jc w:val="center"/>
        <w:rPr>
          <w:b/>
          <w:bCs/>
          <w:color w:val="000000"/>
          <w:sz w:val="44"/>
          <w:szCs w:val="44"/>
        </w:rPr>
      </w:pPr>
      <w:r>
        <w:rPr>
          <w:rFonts w:hint="eastAsia" w:ascii="方正小标宋简体" w:hAnsi="方正小标宋简体" w:eastAsia="方正小标宋简体" w:cs="方正小标宋简体"/>
          <w:b w:val="0"/>
          <w:bCs w:val="0"/>
          <w:color w:val="000000"/>
          <w:sz w:val="44"/>
          <w:szCs w:val="44"/>
        </w:rPr>
        <w:t>测试与数据解析服务采购文件</w:t>
      </w:r>
    </w:p>
    <w:p w14:paraId="7B028587">
      <w:pPr>
        <w:spacing w:line="360" w:lineRule="auto"/>
        <w:jc w:val="center"/>
        <w:rPr>
          <w:b/>
          <w:bCs/>
          <w:color w:val="000000"/>
          <w:sz w:val="32"/>
          <w:szCs w:val="32"/>
        </w:rPr>
      </w:pPr>
    </w:p>
    <w:p w14:paraId="2AC98F05">
      <w:pPr>
        <w:spacing w:line="360" w:lineRule="auto"/>
        <w:rPr>
          <w:color w:val="000000"/>
          <w:sz w:val="32"/>
          <w:szCs w:val="32"/>
        </w:rPr>
      </w:pPr>
    </w:p>
    <w:p w14:paraId="2AEC47C9">
      <w:pPr>
        <w:spacing w:line="360" w:lineRule="auto"/>
        <w:rPr>
          <w:color w:val="000000"/>
          <w:sz w:val="32"/>
          <w:szCs w:val="32"/>
        </w:rPr>
      </w:pPr>
    </w:p>
    <w:p w14:paraId="458ABADE">
      <w:pPr>
        <w:spacing w:line="360" w:lineRule="auto"/>
        <w:rPr>
          <w:color w:val="000000"/>
          <w:sz w:val="32"/>
          <w:szCs w:val="32"/>
        </w:rPr>
      </w:pPr>
    </w:p>
    <w:p w14:paraId="762FB01C">
      <w:pPr>
        <w:spacing w:line="360" w:lineRule="auto"/>
        <w:rPr>
          <w:color w:val="000000"/>
          <w:sz w:val="32"/>
          <w:szCs w:val="32"/>
        </w:rPr>
      </w:pPr>
    </w:p>
    <w:p w14:paraId="1E841DBB">
      <w:pPr>
        <w:spacing w:line="360" w:lineRule="auto"/>
        <w:rPr>
          <w:color w:val="000000"/>
          <w:sz w:val="32"/>
          <w:szCs w:val="32"/>
        </w:rPr>
      </w:pPr>
    </w:p>
    <w:p w14:paraId="4D7556A4">
      <w:pPr>
        <w:spacing w:line="360" w:lineRule="auto"/>
        <w:rPr>
          <w:color w:val="000000"/>
          <w:sz w:val="32"/>
          <w:szCs w:val="32"/>
        </w:rPr>
      </w:pPr>
    </w:p>
    <w:p w14:paraId="2989A4E6">
      <w:pPr>
        <w:spacing w:line="360" w:lineRule="auto"/>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四川省生态环境监测总站</w:t>
      </w:r>
    </w:p>
    <w:p w14:paraId="2087E4CC">
      <w:pPr>
        <w:spacing w:line="360" w:lineRule="auto"/>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2025年7月</w:t>
      </w:r>
    </w:p>
    <w:p w14:paraId="18612667">
      <w:pPr>
        <w:jc w:val="center"/>
        <w:rPr>
          <w:rStyle w:val="16"/>
          <w:rFonts w:hint="eastAsia" w:ascii="仿宋" w:hAnsi="仿宋" w:eastAsia="仿宋" w:cs="Times New Roman"/>
        </w:rPr>
      </w:pPr>
    </w:p>
    <w:p w14:paraId="620AEB0C">
      <w:pPr>
        <w:jc w:val="center"/>
        <w:rPr>
          <w:rStyle w:val="16"/>
          <w:rFonts w:hint="eastAsia" w:ascii="仿宋" w:hAnsi="仿宋" w:eastAsia="仿宋" w:cs="Times New Roman"/>
        </w:rPr>
      </w:pPr>
    </w:p>
    <w:p w14:paraId="65FE5521">
      <w:pPr>
        <w:pStyle w:val="17"/>
        <w:spacing w:before="0" w:after="0" w:line="360" w:lineRule="auto"/>
        <w:jc w:val="center"/>
        <w:outlineLvl w:val="0"/>
        <w:rPr>
          <w:rStyle w:val="16"/>
          <w:rFonts w:hint="eastAsia" w:ascii="黑体" w:hAnsi="黑体" w:eastAsia="黑体" w:cs="黑体"/>
          <w:b w:val="0"/>
          <w:bCs w:val="0"/>
          <w:color w:val="000000"/>
          <w:sz w:val="32"/>
          <w:szCs w:val="32"/>
        </w:rPr>
        <w:sectPr>
          <w:pgSz w:w="11906" w:h="16838"/>
          <w:pgMar w:top="2098" w:right="1474" w:bottom="1984" w:left="1587" w:header="851" w:footer="1417" w:gutter="0"/>
          <w:cols w:space="720" w:num="1"/>
          <w:titlePg/>
          <w:docGrid w:type="linesAndChars" w:linePitch="312" w:charSpace="0"/>
        </w:sectPr>
      </w:pPr>
    </w:p>
    <w:p w14:paraId="14156843">
      <w:pPr>
        <w:pStyle w:val="17"/>
        <w:spacing w:before="0" w:after="0" w:line="360" w:lineRule="auto"/>
        <w:jc w:val="center"/>
        <w:outlineLvl w:val="0"/>
        <w:rPr>
          <w:rStyle w:val="16"/>
          <w:rFonts w:hint="eastAsia" w:ascii="黑体" w:hAnsi="黑体" w:eastAsia="黑体" w:cs="黑体"/>
          <w:b w:val="0"/>
          <w:bCs w:val="0"/>
          <w:color w:val="000000"/>
          <w:sz w:val="32"/>
          <w:szCs w:val="32"/>
        </w:rPr>
      </w:pPr>
      <w:r>
        <w:rPr>
          <w:rStyle w:val="16"/>
          <w:rFonts w:hint="eastAsia" w:ascii="黑体" w:hAnsi="黑体" w:eastAsia="黑体" w:cs="黑体"/>
          <w:b w:val="0"/>
          <w:bCs w:val="0"/>
          <w:color w:val="000000"/>
          <w:sz w:val="32"/>
          <w:szCs w:val="32"/>
        </w:rPr>
        <w:t>第一部分 采购内容及采购方式</w:t>
      </w:r>
    </w:p>
    <w:p w14:paraId="144D7E07">
      <w:pPr>
        <w:pStyle w:val="7"/>
        <w:keepNext w:val="0"/>
        <w:keepLines w:val="0"/>
        <w:pageBreakBefore w:val="0"/>
        <w:kinsoku/>
        <w:wordWrap/>
        <w:autoSpaceDE/>
        <w:autoSpaceDN/>
        <w:bidi w:val="0"/>
        <w:snapToGrid/>
        <w:spacing w:line="560" w:lineRule="exact"/>
        <w:ind w:left="0" w:leftChars="0" w:firstLine="640" w:firstLineChars="200"/>
        <w:textAlignment w:val="auto"/>
        <w:rPr>
          <w:rFonts w:hint="eastAsia" w:ascii="仿宋_GB2312" w:hAnsi="仿宋_GB2312" w:eastAsia="仿宋_GB2312" w:cs="仿宋_GB2312"/>
          <w:b/>
          <w:color w:val="000000"/>
          <w:sz w:val="32"/>
          <w:szCs w:val="32"/>
        </w:rPr>
      </w:pPr>
      <w:bookmarkStart w:id="1" w:name="_Hlk99096275"/>
      <w:r>
        <w:rPr>
          <w:rFonts w:hint="eastAsia" w:ascii="仿宋_GB2312" w:hAnsi="仿宋_GB2312" w:eastAsia="仿宋_GB2312" w:cs="仿宋_GB2312"/>
          <w:b/>
          <w:bCs/>
          <w:color w:val="000000"/>
          <w:sz w:val="32"/>
          <w:szCs w:val="32"/>
        </w:rPr>
        <w:t>1. 项目概况及采购内容</w:t>
      </w:r>
    </w:p>
    <w:p w14:paraId="7BE8820B">
      <w:pPr>
        <w:keepNext w:val="0"/>
        <w:keepLines w:val="0"/>
        <w:pageBreakBefore w:val="0"/>
        <w:kinsoku/>
        <w:wordWrap/>
        <w:autoSpaceDE/>
        <w:autoSpaceDN/>
        <w:bidi w:val="0"/>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基于同位素的四川省主要地形“污染源-污染驱动-跨介质传输过程-污染通量与均衡”测试与数据解析服务采购，项目预算100000.00元，采购服务内容如下：</w:t>
      </w:r>
    </w:p>
    <w:bookmarkEnd w:id="1"/>
    <w:p w14:paraId="21D1E658">
      <w:pPr>
        <w:keepNext w:val="0"/>
        <w:keepLines w:val="0"/>
        <w:pageBreakBefore w:val="0"/>
        <w:widowControl/>
        <w:shd w:val="clear" w:color="auto" w:fill="FFFFFF"/>
        <w:kinsoku/>
        <w:wordWrap/>
        <w:autoSpaceDE/>
        <w:autoSpaceDN/>
        <w:bidi w:val="0"/>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1.1 项目概况</w:t>
      </w:r>
    </w:p>
    <w:p w14:paraId="0C7E8BAC">
      <w:pPr>
        <w:pStyle w:val="15"/>
        <w:keepNext w:val="0"/>
        <w:keepLines w:val="0"/>
        <w:pageBreakBefore w:val="0"/>
        <w:kinsoku/>
        <w:wordWrap/>
        <w:overflowPunct w:val="0"/>
        <w:topLinePunct/>
        <w:autoSpaceDE/>
        <w:autoSpaceDN/>
        <w:bidi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1.1.1背景</w:t>
      </w:r>
    </w:p>
    <w:p w14:paraId="6DC106D2">
      <w:pPr>
        <w:keepNext w:val="0"/>
        <w:keepLines w:val="0"/>
        <w:pageBreakBefore w:val="0"/>
        <w:kinsoku/>
        <w:wordWrap/>
        <w:autoSpaceDE/>
        <w:autoSpaceDN/>
        <w:bidi w:val="0"/>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跨介质的二次污染物立体监测预警与决策支持业务化平台为国家重点研发计划课题，本课题采用多技术手段分析研究跨大气、土壤、水的污染物立体监测预警，为四川盆地大气二次污染控制策略制定提供科学基础和技术支撑。</w:t>
      </w:r>
    </w:p>
    <w:p w14:paraId="212F8F1E">
      <w:pPr>
        <w:keepNext w:val="0"/>
        <w:keepLines w:val="0"/>
        <w:pageBreakBefore w:val="0"/>
        <w:kinsoku/>
        <w:wordWrap/>
        <w:autoSpaceDE/>
        <w:autoSpaceDN/>
        <w:bidi w:val="0"/>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国家重点研发计划“跨介质的二次污染物立体监测预警与决策支持业务化平台”课题中我单位承担的工作内容及预算“降雨、地表水、土壤和地下水的TOC、硝酸盐同位素（</w:t>
      </w:r>
      <w:r>
        <w:rPr>
          <w:rFonts w:hint="eastAsia" w:ascii="仿宋_GB2312" w:hAnsi="仿宋_GB2312" w:eastAsia="仿宋_GB2312" w:cs="仿宋_GB2312"/>
          <w:bCs/>
          <w:sz w:val="32"/>
          <w:szCs w:val="32"/>
          <w:vertAlign w:val="superscript"/>
        </w:rPr>
        <w:t>18</w:t>
      </w:r>
      <w:r>
        <w:rPr>
          <w:rFonts w:hint="eastAsia" w:ascii="仿宋_GB2312" w:hAnsi="仿宋_GB2312" w:eastAsia="仿宋_GB2312" w:cs="仿宋_GB2312"/>
          <w:bCs/>
          <w:sz w:val="32"/>
          <w:szCs w:val="32"/>
        </w:rPr>
        <w:t>O、</w:t>
      </w:r>
      <w:r>
        <w:rPr>
          <w:rFonts w:hint="eastAsia" w:ascii="仿宋_GB2312" w:hAnsi="仿宋_GB2312" w:eastAsia="仿宋_GB2312" w:cs="仿宋_GB2312"/>
          <w:bCs/>
          <w:sz w:val="32"/>
          <w:szCs w:val="32"/>
          <w:vertAlign w:val="superscript"/>
        </w:rPr>
        <w:t>15</w:t>
      </w:r>
      <w:r>
        <w:rPr>
          <w:rFonts w:hint="eastAsia" w:ascii="仿宋_GB2312" w:hAnsi="仿宋_GB2312" w:eastAsia="仿宋_GB2312" w:cs="仿宋_GB2312"/>
          <w:bCs/>
          <w:sz w:val="32"/>
          <w:szCs w:val="32"/>
        </w:rPr>
        <w:t>N）分析测试任务”拟委托第三方机构开展。</w:t>
      </w:r>
    </w:p>
    <w:p w14:paraId="389229DF">
      <w:pPr>
        <w:pStyle w:val="15"/>
        <w:keepNext w:val="0"/>
        <w:keepLines w:val="0"/>
        <w:pageBreakBefore w:val="0"/>
        <w:kinsoku/>
        <w:wordWrap/>
        <w:overflowPunct w:val="0"/>
        <w:topLinePunct/>
        <w:autoSpaceDE/>
        <w:autoSpaceDN/>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1.1.2采购概况</w:t>
      </w:r>
    </w:p>
    <w:p w14:paraId="107FAF44">
      <w:pPr>
        <w:keepNext w:val="0"/>
        <w:keepLines w:val="0"/>
        <w:pageBreakBefore w:val="0"/>
        <w:kinsoku/>
        <w:wordWrap/>
        <w:autoSpaceDE/>
        <w:autoSpaceDN/>
        <w:bidi w:val="0"/>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按照采购人需求，服务内容包括：开展复杂地形下（四川平原区、丘陵区等）跨介质污染物传输过程中硝酸盐同位素（</w:t>
      </w:r>
      <w:r>
        <w:rPr>
          <w:rFonts w:hint="eastAsia" w:ascii="仿宋_GB2312" w:hAnsi="仿宋_GB2312" w:eastAsia="仿宋_GB2312" w:cs="仿宋_GB2312"/>
          <w:bCs/>
          <w:color w:val="000000"/>
          <w:sz w:val="32"/>
          <w:szCs w:val="32"/>
          <w:vertAlign w:val="superscript"/>
        </w:rPr>
        <w:t>18</w:t>
      </w:r>
      <w:r>
        <w:rPr>
          <w:rFonts w:hint="eastAsia" w:ascii="仿宋_GB2312" w:hAnsi="仿宋_GB2312" w:eastAsia="仿宋_GB2312" w:cs="仿宋_GB2312"/>
          <w:bCs/>
          <w:color w:val="000000"/>
          <w:sz w:val="32"/>
          <w:szCs w:val="32"/>
        </w:rPr>
        <w:t>O、</w:t>
      </w:r>
      <w:r>
        <w:rPr>
          <w:rFonts w:hint="eastAsia" w:ascii="仿宋_GB2312" w:hAnsi="仿宋_GB2312" w:eastAsia="仿宋_GB2312" w:cs="仿宋_GB2312"/>
          <w:bCs/>
          <w:color w:val="000000"/>
          <w:sz w:val="32"/>
          <w:szCs w:val="32"/>
          <w:vertAlign w:val="superscript"/>
        </w:rPr>
        <w:t>15</w:t>
      </w:r>
      <w:r>
        <w:rPr>
          <w:rFonts w:hint="eastAsia" w:ascii="仿宋_GB2312" w:hAnsi="仿宋_GB2312" w:eastAsia="仿宋_GB2312" w:cs="仿宋_GB2312"/>
          <w:bCs/>
          <w:color w:val="000000"/>
          <w:sz w:val="32"/>
          <w:szCs w:val="32"/>
        </w:rPr>
        <w:t>N）测试，和硫酸盐、磷酸盐、硝酸盐，铅、汞、氮同位素等污染物跨介质（大气-</w:t>
      </w:r>
      <w:bookmarkStart w:id="10" w:name="_GoBack"/>
      <w:bookmarkEnd w:id="10"/>
      <w:r>
        <w:rPr>
          <w:rFonts w:hint="eastAsia" w:ascii="仿宋_GB2312" w:hAnsi="仿宋_GB2312" w:eastAsia="仿宋_GB2312" w:cs="仿宋_GB2312"/>
          <w:bCs/>
          <w:color w:val="000000"/>
          <w:sz w:val="32"/>
          <w:szCs w:val="32"/>
        </w:rPr>
        <w:t>土壤-地下水）传输特征分析工作，内容满足国家重点研发计划“跨介质的二次污染物立体监测预警与决策支持业务化平台”中复杂地形条件下主要污染物跨介质分析需求。</w:t>
      </w:r>
    </w:p>
    <w:p w14:paraId="414C96B0">
      <w:pPr>
        <w:keepNext w:val="0"/>
        <w:keepLines w:val="0"/>
        <w:pageBreakBefore w:val="0"/>
        <w:kinsoku/>
        <w:wordWrap/>
        <w:autoSpaceDE/>
        <w:autoSpaceDN/>
        <w:bidi w:val="0"/>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提交成果内容包括：硫酸盐、磷酸盐、硝酸盐，铅、汞、氮同位素等污染物的监测结果和不小于两种污染物跨介质传输特征的分析报告。</w:t>
      </w:r>
    </w:p>
    <w:p w14:paraId="323DC2A4">
      <w:pPr>
        <w:keepNext w:val="0"/>
        <w:keepLines w:val="0"/>
        <w:pageBreakBefore w:val="0"/>
        <w:widowControl/>
        <w:shd w:val="clear" w:color="auto" w:fill="FFFFFF"/>
        <w:kinsoku/>
        <w:wordWrap/>
        <w:autoSpaceDE/>
        <w:autoSpaceDN/>
        <w:bidi w:val="0"/>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1.2服务要求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410"/>
        <w:gridCol w:w="1842"/>
        <w:gridCol w:w="3311"/>
      </w:tblGrid>
      <w:tr w14:paraId="5A97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23D6354">
            <w:pPr>
              <w:jc w:val="center"/>
              <w:rPr>
                <w:rFonts w:hint="eastAsia" w:ascii="黑体" w:hAnsi="黑体" w:eastAsia="黑体" w:cs="黑体"/>
                <w:szCs w:val="21"/>
              </w:rPr>
            </w:pPr>
            <w:r>
              <w:rPr>
                <w:rFonts w:hint="eastAsia" w:ascii="黑体" w:hAnsi="黑体" w:eastAsia="黑体" w:cs="黑体"/>
                <w:szCs w:val="21"/>
              </w:rPr>
              <w:t>序号</w:t>
            </w:r>
          </w:p>
        </w:tc>
        <w:tc>
          <w:tcPr>
            <w:tcW w:w="2410" w:type="dxa"/>
            <w:vAlign w:val="center"/>
          </w:tcPr>
          <w:p w14:paraId="68187B82">
            <w:pPr>
              <w:jc w:val="center"/>
              <w:rPr>
                <w:rFonts w:hint="eastAsia" w:ascii="黑体" w:hAnsi="黑体" w:eastAsia="黑体" w:cs="黑体"/>
                <w:szCs w:val="21"/>
              </w:rPr>
            </w:pPr>
            <w:r>
              <w:rPr>
                <w:rFonts w:hint="eastAsia" w:ascii="黑体" w:hAnsi="黑体" w:eastAsia="黑体" w:cs="黑体"/>
                <w:szCs w:val="21"/>
              </w:rPr>
              <w:t>分项内容</w:t>
            </w:r>
          </w:p>
        </w:tc>
        <w:tc>
          <w:tcPr>
            <w:tcW w:w="1842" w:type="dxa"/>
            <w:vAlign w:val="center"/>
          </w:tcPr>
          <w:p w14:paraId="0E471CF2">
            <w:pPr>
              <w:jc w:val="center"/>
              <w:rPr>
                <w:rFonts w:hint="eastAsia" w:ascii="黑体" w:hAnsi="黑体" w:eastAsia="黑体" w:cs="黑体"/>
                <w:szCs w:val="21"/>
              </w:rPr>
            </w:pPr>
            <w:r>
              <w:rPr>
                <w:rFonts w:hint="eastAsia" w:ascii="黑体" w:hAnsi="黑体" w:eastAsia="黑体" w:cs="黑体"/>
                <w:szCs w:val="21"/>
              </w:rPr>
              <w:t>数量</w:t>
            </w:r>
          </w:p>
        </w:tc>
        <w:tc>
          <w:tcPr>
            <w:tcW w:w="3311" w:type="dxa"/>
            <w:vAlign w:val="center"/>
          </w:tcPr>
          <w:p w14:paraId="592E26E9">
            <w:pPr>
              <w:jc w:val="center"/>
              <w:rPr>
                <w:rFonts w:hint="eastAsia" w:ascii="黑体" w:hAnsi="黑体" w:eastAsia="黑体" w:cs="黑体"/>
                <w:szCs w:val="21"/>
              </w:rPr>
            </w:pPr>
            <w:r>
              <w:rPr>
                <w:rFonts w:hint="eastAsia" w:ascii="黑体" w:hAnsi="黑体" w:eastAsia="黑体" w:cs="黑体"/>
                <w:szCs w:val="21"/>
              </w:rPr>
              <w:t>技术要求</w:t>
            </w:r>
          </w:p>
        </w:tc>
      </w:tr>
      <w:tr w14:paraId="54BD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5B89B41">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2410" w:type="dxa"/>
            <w:vAlign w:val="center"/>
          </w:tcPr>
          <w:p w14:paraId="1628C616">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平原农田（稻田）</w:t>
            </w:r>
          </w:p>
        </w:tc>
        <w:tc>
          <w:tcPr>
            <w:tcW w:w="1842" w:type="dxa"/>
            <w:vAlign w:val="center"/>
          </w:tcPr>
          <w:p w14:paraId="3543F9AF">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2组/18位置</w:t>
            </w:r>
          </w:p>
        </w:tc>
        <w:tc>
          <w:tcPr>
            <w:tcW w:w="3311" w:type="dxa"/>
            <w:vAlign w:val="center"/>
          </w:tcPr>
          <w:p w14:paraId="0BCE7130">
            <w:pPr>
              <w:rPr>
                <w:rFonts w:hint="default" w:ascii="Times New Roman" w:hAnsi="Times New Roman" w:eastAsia="仿宋_GB2312" w:cs="Times New Roman"/>
                <w:szCs w:val="21"/>
              </w:rPr>
            </w:pPr>
            <w:r>
              <w:rPr>
                <w:rFonts w:hint="default" w:ascii="Times New Roman" w:hAnsi="Times New Roman" w:eastAsia="仿宋_GB2312" w:cs="Times New Roman"/>
                <w:szCs w:val="21"/>
              </w:rPr>
              <w:t>（1）包括对大气-土壤-地下水跨介质条件下的同位素丰度进行测定，包括大气层1个点位，土壤层0~100cm深度5个点位，100~地下水深度2个点位，地下水1个点位，共9个点位。</w:t>
            </w:r>
          </w:p>
          <w:p w14:paraId="09D90446">
            <w:pPr>
              <w:rPr>
                <w:rFonts w:hint="default" w:ascii="Times New Roman" w:hAnsi="Times New Roman" w:eastAsia="仿宋_GB2312" w:cs="Times New Roman"/>
                <w:szCs w:val="21"/>
              </w:rPr>
            </w:pPr>
            <w:r>
              <w:rPr>
                <w:rFonts w:hint="default" w:ascii="Times New Roman" w:hAnsi="Times New Roman" w:eastAsia="仿宋_GB2312" w:cs="Times New Roman"/>
                <w:szCs w:val="21"/>
              </w:rPr>
              <w:t>（2）1组分别在四川省不同的典型土壤类型(水稻土和紫土)中测定。</w:t>
            </w:r>
          </w:p>
          <w:p w14:paraId="6585AFFE">
            <w:pPr>
              <w:rPr>
                <w:rFonts w:hint="default" w:ascii="Times New Roman" w:hAnsi="Times New Roman" w:eastAsia="仿宋_GB2312" w:cs="Times New Roman"/>
                <w:szCs w:val="21"/>
              </w:rPr>
            </w:pPr>
            <w:r>
              <w:rPr>
                <w:rFonts w:hint="default" w:ascii="Times New Roman" w:hAnsi="Times New Roman" w:eastAsia="仿宋_GB2312" w:cs="Times New Roman"/>
                <w:szCs w:val="21"/>
              </w:rPr>
              <w:t>（3）2组共18个点位，测定跨介质传输污染物同位素丰度。</w:t>
            </w:r>
          </w:p>
        </w:tc>
      </w:tr>
      <w:tr w14:paraId="6066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84F86DA">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2410" w:type="dxa"/>
            <w:vAlign w:val="center"/>
          </w:tcPr>
          <w:p w14:paraId="6DF51223">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平原农田（旱田）</w:t>
            </w:r>
          </w:p>
        </w:tc>
        <w:tc>
          <w:tcPr>
            <w:tcW w:w="1842" w:type="dxa"/>
            <w:vAlign w:val="center"/>
          </w:tcPr>
          <w:p w14:paraId="6DC5CAB7">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2组/18位置</w:t>
            </w:r>
          </w:p>
        </w:tc>
        <w:tc>
          <w:tcPr>
            <w:tcW w:w="3311" w:type="dxa"/>
            <w:vAlign w:val="center"/>
          </w:tcPr>
          <w:p w14:paraId="57FEAE03">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技术要求同1</w:t>
            </w:r>
          </w:p>
        </w:tc>
      </w:tr>
      <w:tr w14:paraId="499D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B238ED1">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w:t>
            </w:r>
          </w:p>
        </w:tc>
        <w:tc>
          <w:tcPr>
            <w:tcW w:w="2410" w:type="dxa"/>
            <w:vAlign w:val="center"/>
          </w:tcPr>
          <w:p w14:paraId="7E2ACE80">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丘陵区（草地）</w:t>
            </w:r>
          </w:p>
        </w:tc>
        <w:tc>
          <w:tcPr>
            <w:tcW w:w="1842" w:type="dxa"/>
            <w:vAlign w:val="center"/>
          </w:tcPr>
          <w:p w14:paraId="4B40F7E4">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2组/18位置</w:t>
            </w:r>
          </w:p>
        </w:tc>
        <w:tc>
          <w:tcPr>
            <w:tcW w:w="3311" w:type="dxa"/>
            <w:vAlign w:val="center"/>
          </w:tcPr>
          <w:p w14:paraId="1672B52E">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技术要求同1</w:t>
            </w:r>
          </w:p>
        </w:tc>
      </w:tr>
      <w:tr w14:paraId="2140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6816072">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w:t>
            </w:r>
          </w:p>
        </w:tc>
        <w:tc>
          <w:tcPr>
            <w:tcW w:w="2410" w:type="dxa"/>
            <w:vAlign w:val="center"/>
          </w:tcPr>
          <w:p w14:paraId="1C5DB58E">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丘陵区（林地）</w:t>
            </w:r>
          </w:p>
        </w:tc>
        <w:tc>
          <w:tcPr>
            <w:tcW w:w="1842" w:type="dxa"/>
            <w:vAlign w:val="center"/>
          </w:tcPr>
          <w:p w14:paraId="520ACEA5">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2组/18位置</w:t>
            </w:r>
          </w:p>
        </w:tc>
        <w:tc>
          <w:tcPr>
            <w:tcW w:w="3311" w:type="dxa"/>
            <w:vAlign w:val="center"/>
          </w:tcPr>
          <w:p w14:paraId="03A6636A">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技术要求同1</w:t>
            </w:r>
          </w:p>
        </w:tc>
      </w:tr>
      <w:tr w14:paraId="340A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66D1A33">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2410" w:type="dxa"/>
            <w:vAlign w:val="center"/>
          </w:tcPr>
          <w:p w14:paraId="6292EB45">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主控因子</w:t>
            </w:r>
          </w:p>
        </w:tc>
        <w:tc>
          <w:tcPr>
            <w:tcW w:w="1842" w:type="dxa"/>
            <w:vAlign w:val="center"/>
          </w:tcPr>
          <w:p w14:paraId="3958A09D">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4组/各下垫面条件下1组</w:t>
            </w:r>
          </w:p>
        </w:tc>
        <w:tc>
          <w:tcPr>
            <w:tcW w:w="3311" w:type="dxa"/>
            <w:vAlign w:val="center"/>
          </w:tcPr>
          <w:p w14:paraId="18168C1E">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同步测定跨介质的二次污染物立体监测预警的影响参数，包括空气动力学条件参数，土壤参数。</w:t>
            </w:r>
          </w:p>
        </w:tc>
      </w:tr>
      <w:tr w14:paraId="2FF4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107285A">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w:t>
            </w:r>
          </w:p>
        </w:tc>
        <w:tc>
          <w:tcPr>
            <w:tcW w:w="2410" w:type="dxa"/>
            <w:vAlign w:val="center"/>
          </w:tcPr>
          <w:p w14:paraId="0AA3BE65">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成果报告</w:t>
            </w:r>
          </w:p>
        </w:tc>
        <w:tc>
          <w:tcPr>
            <w:tcW w:w="1842" w:type="dxa"/>
            <w:vAlign w:val="center"/>
          </w:tcPr>
          <w:p w14:paraId="46CBD6EC">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1份</w:t>
            </w:r>
          </w:p>
        </w:tc>
        <w:tc>
          <w:tcPr>
            <w:tcW w:w="3311" w:type="dxa"/>
            <w:vAlign w:val="center"/>
          </w:tcPr>
          <w:p w14:paraId="150103DA">
            <w:pPr>
              <w:jc w:val="both"/>
              <w:rPr>
                <w:rFonts w:hint="default" w:ascii="Times New Roman" w:hAnsi="Times New Roman" w:eastAsia="仿宋_GB2312" w:cs="Times New Roman"/>
                <w:szCs w:val="21"/>
              </w:rPr>
            </w:pPr>
            <w:r>
              <w:rPr>
                <w:rFonts w:hint="default" w:ascii="Times New Roman" w:hAnsi="Times New Roman" w:eastAsia="仿宋_GB2312" w:cs="Times New Roman"/>
                <w:szCs w:val="21"/>
              </w:rPr>
              <w:t>内容包括：（1）硫酸盐、磷酸盐、盐，铅、汞、氮同位素等污染物的监测结果（包括地点，测定条件，取样位置，测试方法，和测试结果说明）</w:t>
            </w:r>
          </w:p>
          <w:p w14:paraId="62FD7166">
            <w:pPr>
              <w:jc w:val="both"/>
              <w:rPr>
                <w:rFonts w:hint="default" w:ascii="Times New Roman" w:hAnsi="Times New Roman" w:eastAsia="仿宋_GB2312" w:cs="Times New Roman"/>
                <w:szCs w:val="21"/>
              </w:rPr>
            </w:pPr>
            <w:r>
              <w:rPr>
                <w:rFonts w:hint="default" w:ascii="Times New Roman" w:hAnsi="Times New Roman" w:eastAsia="仿宋_GB2312" w:cs="Times New Roman"/>
                <w:szCs w:val="21"/>
              </w:rPr>
              <w:t>（2）不小于两种污染物跨介质传输特征的分析报告。</w:t>
            </w:r>
          </w:p>
        </w:tc>
      </w:tr>
    </w:tbl>
    <w:p w14:paraId="6BA81B20">
      <w:pPr>
        <w:pStyle w:val="7"/>
        <w:keepNext w:val="0"/>
        <w:keepLines w:val="0"/>
        <w:pageBreakBefore w:val="0"/>
        <w:kinsoku/>
        <w:wordWrap/>
        <w:bidi w:val="0"/>
        <w:snapToGrid/>
        <w:spacing w:line="560" w:lineRule="exact"/>
        <w:ind w:left="0" w:leftChars="0" w:firstLine="640"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Cs/>
          <w:sz w:val="32"/>
          <w:szCs w:val="32"/>
        </w:rPr>
        <w:t>1.3其他要求</w:t>
      </w:r>
      <w:r>
        <w:rPr>
          <w:rFonts w:hint="eastAsia" w:ascii="仿宋_GB2312" w:hAnsi="仿宋_GB2312" w:eastAsia="仿宋_GB2312" w:cs="仿宋_GB2312"/>
          <w:b/>
          <w:bCs/>
          <w:sz w:val="32"/>
          <w:szCs w:val="32"/>
        </w:rPr>
        <w:t>（实质性要求，提供承诺函，格式自理）</w:t>
      </w:r>
    </w:p>
    <w:p w14:paraId="2B257990">
      <w:pPr>
        <w:pStyle w:val="15"/>
        <w:keepNext w:val="0"/>
        <w:keepLines w:val="0"/>
        <w:pageBreakBefore w:val="0"/>
        <w:kinsoku/>
        <w:wordWrap/>
        <w:overflowPunct w:val="0"/>
        <w:topLinePunct/>
        <w:autoSpaceDE/>
        <w:autoSpaceDN/>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1.3.1支付方式</w:t>
      </w:r>
    </w:p>
    <w:p w14:paraId="0D059BEE">
      <w:pPr>
        <w:pStyle w:val="15"/>
        <w:keepNext w:val="0"/>
        <w:keepLines w:val="0"/>
        <w:pageBreakBefore w:val="0"/>
        <w:kinsoku/>
        <w:wordWrap/>
        <w:overflowPunct w:val="0"/>
        <w:topLinePunct/>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签订合同后，项目合同款项共分</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笔支付。</w:t>
      </w:r>
    </w:p>
    <w:p w14:paraId="20FB47CE">
      <w:pPr>
        <w:pStyle w:val="15"/>
        <w:keepNext w:val="0"/>
        <w:keepLines w:val="0"/>
        <w:pageBreakBefore w:val="0"/>
        <w:kinsoku/>
        <w:wordWrap/>
        <w:overflowPunct w:val="0"/>
        <w:topLinePunct/>
        <w:autoSpaceDE/>
        <w:autoSpaceDN/>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付款方式：项目合同款项共分三笔支付。</w:t>
      </w:r>
    </w:p>
    <w:p w14:paraId="5B98F8A4">
      <w:pPr>
        <w:pStyle w:val="15"/>
        <w:keepNext w:val="0"/>
        <w:keepLines w:val="0"/>
        <w:pageBreakBefore w:val="0"/>
        <w:kinsoku/>
        <w:wordWrap/>
        <w:overflowPunct w:val="0"/>
        <w:topLinePunct/>
        <w:autoSpaceDE/>
        <w:autoSpaceDN/>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第一次付款。本合同签订后10日内，甲方支付合同总金额的30%款项（30000元，叁万元整），届时乙方需提供等额正规发票。</w:t>
      </w:r>
    </w:p>
    <w:p w14:paraId="63582FD9">
      <w:pPr>
        <w:pStyle w:val="15"/>
        <w:keepNext w:val="0"/>
        <w:keepLines w:val="0"/>
        <w:pageBreakBefore w:val="0"/>
        <w:kinsoku/>
        <w:wordWrap/>
        <w:overflowPunct w:val="0"/>
        <w:topLinePunct/>
        <w:autoSpaceDE/>
        <w:autoSpaceDN/>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第二次付款。项目服务期满4个月后，甲方对乙方服务情况进行考核，乙方完成不低于3个分项内容视为合格，考核合格后10日内甲方支付第2笔款项，为合同总金额的30%（30000元，叁万元整）。</w:t>
      </w:r>
    </w:p>
    <w:p w14:paraId="57B5422F">
      <w:pPr>
        <w:pStyle w:val="15"/>
        <w:keepNext w:val="0"/>
        <w:keepLines w:val="0"/>
        <w:pageBreakBefore w:val="0"/>
        <w:kinsoku/>
        <w:wordWrap/>
        <w:overflowPunct w:val="0"/>
        <w:topLinePunct/>
        <w:autoSpaceDE/>
        <w:autoSpaceDN/>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第三次付款。乙方完成所有服务内容并且经甲方考核验收合格后10日内，甲方支付剩余款项，为合同总金额的40%（40000元，肆万元整）。若涉及考核扣款的，应在本次支付中予以扣除。</w:t>
      </w:r>
    </w:p>
    <w:p w14:paraId="5FB8D9BE">
      <w:pPr>
        <w:pStyle w:val="15"/>
        <w:keepNext w:val="0"/>
        <w:keepLines w:val="0"/>
        <w:pageBreakBefore w:val="0"/>
        <w:kinsoku/>
        <w:wordWrap/>
        <w:overflowPunct w:val="0"/>
        <w:topLinePunct/>
        <w:autoSpaceDE/>
        <w:autoSpaceDN/>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1.3.2验收</w:t>
      </w:r>
    </w:p>
    <w:p w14:paraId="5186319A">
      <w:pPr>
        <w:pStyle w:val="15"/>
        <w:keepNext w:val="0"/>
        <w:keepLines w:val="0"/>
        <w:pageBreakBefore w:val="0"/>
        <w:kinsoku/>
        <w:wordWrap/>
        <w:overflowPunct w:val="0"/>
        <w:topLinePunct/>
        <w:autoSpaceDE/>
        <w:autoSpaceDN/>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提供符合科研课题要求的</w:t>
      </w:r>
      <w:r>
        <w:rPr>
          <w:rFonts w:hint="eastAsia" w:ascii="仿宋_GB2312" w:hAnsi="仿宋_GB2312" w:eastAsia="仿宋_GB2312" w:cs="仿宋_GB2312"/>
          <w:bCs/>
          <w:color w:val="auto"/>
          <w:sz w:val="32"/>
          <w:szCs w:val="32"/>
        </w:rPr>
        <w:t>测试化验数据</w:t>
      </w:r>
      <w:r>
        <w:rPr>
          <w:rFonts w:hint="eastAsia" w:ascii="仿宋_GB2312" w:hAnsi="仿宋_GB2312" w:eastAsia="仿宋_GB2312" w:cs="仿宋_GB2312"/>
          <w:color w:val="auto"/>
          <w:sz w:val="32"/>
          <w:szCs w:val="32"/>
        </w:rPr>
        <w:t>，提交数据分析技术成果报告。</w:t>
      </w:r>
    </w:p>
    <w:p w14:paraId="2429CA26">
      <w:pPr>
        <w:pStyle w:val="7"/>
        <w:keepNext w:val="0"/>
        <w:keepLines w:val="0"/>
        <w:pageBreakBefore w:val="0"/>
        <w:kinsoku/>
        <w:wordWrap/>
        <w:bidi w:val="0"/>
        <w:snapToGrid/>
        <w:spacing w:line="560" w:lineRule="exact"/>
        <w:ind w:left="0" w:leftChars="0" w:firstLine="640"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 采购方式</w:t>
      </w:r>
    </w:p>
    <w:p w14:paraId="723CC82D">
      <w:pPr>
        <w:keepNext w:val="0"/>
        <w:keepLines w:val="0"/>
        <w:pageBreakBefore w:val="0"/>
        <w:widowControl/>
        <w:shd w:val="clear" w:color="auto" w:fill="FFFFFF"/>
        <w:kinsoku/>
        <w:wordWrap/>
        <w:bidi w:val="0"/>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根据《四川省生态环境监测总站非政府采购管理制度》等规章制度，结合采购项目特点选用比选方式进行采购。四川省生态环境监测总站对采购全程进行监督。相关采购信息及结果在四川省生态环境监测总站官网上发布。</w:t>
      </w:r>
    </w:p>
    <w:p w14:paraId="20D86547">
      <w:pPr>
        <w:keepNext w:val="0"/>
        <w:keepLines w:val="0"/>
        <w:pageBreakBefore w:val="0"/>
        <w:widowControl/>
        <w:shd w:val="clear" w:color="auto" w:fill="FFFFFF"/>
        <w:kinsoku/>
        <w:wordWrap/>
        <w:bidi w:val="0"/>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2.1 采购总则</w:t>
      </w:r>
    </w:p>
    <w:p w14:paraId="28B2233F">
      <w:pPr>
        <w:keepNext w:val="0"/>
        <w:keepLines w:val="0"/>
        <w:pageBreakBefore w:val="0"/>
        <w:widowControl/>
        <w:shd w:val="clear" w:color="auto" w:fill="FFFFFF"/>
        <w:kinsoku/>
        <w:wordWrap/>
        <w:bidi w:val="0"/>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2.1.1采购人依法组建比选小组，负责比选工作实施。评审小组由相关技术专家组成，负责比选项目的评审。</w:t>
      </w:r>
    </w:p>
    <w:p w14:paraId="54FEE22E">
      <w:pPr>
        <w:keepNext w:val="0"/>
        <w:keepLines w:val="0"/>
        <w:pageBreakBefore w:val="0"/>
        <w:widowControl/>
        <w:shd w:val="clear" w:color="auto" w:fill="FFFFFF"/>
        <w:kinsoku/>
        <w:wordWrap/>
        <w:bidi w:val="0"/>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2.1.2 比选工作应遵循公平、公正、科学及择优的原则，并以相同的评选程序和标准对待所有的参选人。</w:t>
      </w:r>
    </w:p>
    <w:p w14:paraId="5137E4B0">
      <w:pPr>
        <w:keepNext w:val="0"/>
        <w:keepLines w:val="0"/>
        <w:pageBreakBefore w:val="0"/>
        <w:widowControl/>
        <w:shd w:val="clear" w:color="auto" w:fill="FFFFFF"/>
        <w:kinsoku/>
        <w:wordWrap/>
        <w:bidi w:val="0"/>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2.1.3 评审小组按照采购文件规定的评选方法和标准独立进行评审。</w:t>
      </w:r>
    </w:p>
    <w:p w14:paraId="684D15F1">
      <w:pPr>
        <w:keepNext w:val="0"/>
        <w:keepLines w:val="0"/>
        <w:pageBreakBefore w:val="0"/>
        <w:widowControl/>
        <w:shd w:val="clear" w:color="auto" w:fill="FFFFFF"/>
        <w:kinsoku/>
        <w:wordWrap/>
        <w:bidi w:val="0"/>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2.2 组织比选</w:t>
      </w:r>
    </w:p>
    <w:p w14:paraId="704FAEDE">
      <w:pPr>
        <w:keepNext w:val="0"/>
        <w:keepLines w:val="0"/>
        <w:pageBreakBefore w:val="0"/>
        <w:widowControl/>
        <w:shd w:val="clear" w:color="auto" w:fill="FFFFFF"/>
        <w:kinsoku/>
        <w:wordWrap/>
        <w:bidi w:val="0"/>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2.2.1 比选文件递交地点：成都市青羊区光华东三路88号，四川省生态环境监测总站办公楼9楼会议室。</w:t>
      </w:r>
    </w:p>
    <w:p w14:paraId="3BF45F34">
      <w:pPr>
        <w:keepNext w:val="0"/>
        <w:keepLines w:val="0"/>
        <w:pageBreakBefore w:val="0"/>
        <w:widowControl/>
        <w:shd w:val="clear" w:color="auto" w:fill="FFFFFF"/>
        <w:kinsoku/>
        <w:wordWrap/>
        <w:bidi w:val="0"/>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2.2.2 比选文件递交时间。参选文件应在公告规定的截止时间前送达，迟到的参选文件将被拒收。</w:t>
      </w:r>
    </w:p>
    <w:p w14:paraId="28F51EBD">
      <w:pPr>
        <w:keepNext w:val="0"/>
        <w:keepLines w:val="0"/>
        <w:pageBreakBefore w:val="0"/>
        <w:widowControl/>
        <w:shd w:val="clear" w:color="auto" w:fill="FFFFFF"/>
        <w:kinsoku/>
        <w:wordWrap/>
        <w:bidi w:val="0"/>
        <w:snapToGrid/>
        <w:spacing w:line="560" w:lineRule="exact"/>
        <w:ind w:firstLine="640" w:firstLineChars="200"/>
        <w:textAlignment w:val="auto"/>
        <w:rPr>
          <w:rFonts w:hint="eastAsia" w:ascii="仿宋_GB2312" w:hAnsi="仿宋_GB2312" w:eastAsia="仿宋_GB2312" w:cs="仿宋_GB2312"/>
          <w:bCs/>
          <w:color w:val="000000"/>
          <w:sz w:val="32"/>
          <w:szCs w:val="32"/>
        </w:rPr>
      </w:pPr>
      <w:bookmarkStart w:id="2" w:name="_Hlk99119333"/>
      <w:r>
        <w:rPr>
          <w:rFonts w:hint="eastAsia" w:ascii="仿宋_GB2312" w:hAnsi="仿宋_GB2312" w:eastAsia="仿宋_GB2312" w:cs="仿宋_GB2312"/>
          <w:bCs/>
          <w:color w:val="000000"/>
          <w:sz w:val="32"/>
          <w:szCs w:val="32"/>
        </w:rPr>
        <w:t>2.2.3 比选程序</w:t>
      </w:r>
    </w:p>
    <w:p w14:paraId="5EA9121F">
      <w:pPr>
        <w:keepNext w:val="0"/>
        <w:keepLines w:val="0"/>
        <w:pageBreakBefore w:val="0"/>
        <w:widowControl/>
        <w:shd w:val="clear" w:color="auto" w:fill="FFFFFF"/>
        <w:kinsoku/>
        <w:wordWrap/>
        <w:bidi w:val="0"/>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2.2.3.1 评审小组现场审查比选申请人递交的比选文件，对不符合比选公告要求的由主持人当场宣布为废弃文件。</w:t>
      </w:r>
    </w:p>
    <w:p w14:paraId="17292AD2">
      <w:pPr>
        <w:keepNext w:val="0"/>
        <w:keepLines w:val="0"/>
        <w:pageBreakBefore w:val="0"/>
        <w:widowControl/>
        <w:shd w:val="clear" w:color="auto" w:fill="FFFFFF"/>
        <w:kinsoku/>
        <w:wordWrap/>
        <w:bidi w:val="0"/>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2.2.3.2 评审成员根据比选方案进行比选、分析独立打分，汇总得分为比选申请人的实际得分，实际得分最高的比选申请人确定为中选人。</w:t>
      </w:r>
    </w:p>
    <w:p w14:paraId="215C81EC">
      <w:pPr>
        <w:keepNext w:val="0"/>
        <w:keepLines w:val="0"/>
        <w:pageBreakBefore w:val="0"/>
        <w:widowControl/>
        <w:shd w:val="clear" w:color="auto" w:fill="FFFFFF"/>
        <w:kinsoku/>
        <w:wordWrap/>
        <w:bidi w:val="0"/>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2.2.3.3 评审主持人宣布采购结果，评审小组全体成员参加。</w:t>
      </w:r>
    </w:p>
    <w:p w14:paraId="74F10715">
      <w:pPr>
        <w:keepNext w:val="0"/>
        <w:keepLines w:val="0"/>
        <w:pageBreakBefore w:val="0"/>
        <w:widowControl/>
        <w:shd w:val="clear" w:color="auto" w:fill="FFFFFF"/>
        <w:kinsoku/>
        <w:wordWrap/>
        <w:bidi w:val="0"/>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2.2.3.4 评审方法为：综合评价法</w:t>
      </w:r>
    </w:p>
    <w:tbl>
      <w:tblPr>
        <w:tblStyle w:val="12"/>
        <w:tblW w:w="860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353"/>
        <w:gridCol w:w="5655"/>
        <w:gridCol w:w="893"/>
      </w:tblGrid>
      <w:tr w14:paraId="671BF7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704" w:type="dxa"/>
            <w:tcBorders>
              <w:top w:val="single" w:color="auto" w:sz="4" w:space="0"/>
              <w:left w:val="single" w:color="auto" w:sz="4" w:space="0"/>
              <w:bottom w:val="single" w:color="auto" w:sz="6" w:space="0"/>
              <w:right w:val="single" w:color="auto" w:sz="4" w:space="0"/>
            </w:tcBorders>
            <w:vAlign w:val="center"/>
          </w:tcPr>
          <w:p w14:paraId="7018D71B">
            <w:pPr>
              <w:snapToGrid w:val="0"/>
              <w:spacing w:line="400" w:lineRule="exact"/>
              <w:rPr>
                <w:rFonts w:hint="eastAsia" w:ascii="黑体" w:hAnsi="黑体" w:eastAsia="黑体" w:cs="黑体"/>
                <w:sz w:val="24"/>
              </w:rPr>
            </w:pPr>
            <w:r>
              <w:rPr>
                <w:rFonts w:hint="eastAsia" w:ascii="黑体" w:hAnsi="黑体" w:eastAsia="黑体" w:cs="黑体"/>
                <w:sz w:val="24"/>
              </w:rPr>
              <w:t>序号</w:t>
            </w:r>
          </w:p>
        </w:tc>
        <w:tc>
          <w:tcPr>
            <w:tcW w:w="1353" w:type="dxa"/>
            <w:tcBorders>
              <w:top w:val="single" w:color="auto" w:sz="4" w:space="0"/>
              <w:left w:val="single" w:color="auto" w:sz="6" w:space="0"/>
              <w:bottom w:val="single" w:color="auto" w:sz="6" w:space="0"/>
              <w:right w:val="single" w:color="auto" w:sz="6" w:space="0"/>
            </w:tcBorders>
            <w:vAlign w:val="center"/>
          </w:tcPr>
          <w:p w14:paraId="04010C0A">
            <w:pPr>
              <w:snapToGrid w:val="0"/>
              <w:spacing w:line="400" w:lineRule="exact"/>
              <w:ind w:firstLine="465"/>
              <w:rPr>
                <w:rFonts w:hint="eastAsia" w:ascii="黑体" w:hAnsi="黑体" w:eastAsia="黑体" w:cs="黑体"/>
                <w:sz w:val="24"/>
              </w:rPr>
            </w:pPr>
            <w:r>
              <w:rPr>
                <w:rFonts w:hint="eastAsia" w:ascii="黑体" w:hAnsi="黑体" w:eastAsia="黑体" w:cs="黑体"/>
                <w:sz w:val="24"/>
              </w:rPr>
              <w:t>分值</w:t>
            </w:r>
          </w:p>
        </w:tc>
        <w:tc>
          <w:tcPr>
            <w:tcW w:w="5655" w:type="dxa"/>
            <w:tcBorders>
              <w:top w:val="single" w:color="auto" w:sz="4" w:space="0"/>
              <w:left w:val="single" w:color="auto" w:sz="6" w:space="0"/>
              <w:bottom w:val="single" w:color="auto" w:sz="6" w:space="0"/>
              <w:right w:val="single" w:color="auto" w:sz="4" w:space="0"/>
            </w:tcBorders>
            <w:vAlign w:val="center"/>
          </w:tcPr>
          <w:p w14:paraId="37379E65">
            <w:pPr>
              <w:snapToGrid w:val="0"/>
              <w:spacing w:line="400" w:lineRule="exact"/>
              <w:ind w:firstLine="465"/>
              <w:rPr>
                <w:rFonts w:hint="eastAsia" w:ascii="黑体" w:hAnsi="黑体" w:eastAsia="黑体" w:cs="黑体"/>
                <w:sz w:val="24"/>
              </w:rPr>
            </w:pPr>
            <w:r>
              <w:rPr>
                <w:rFonts w:hint="eastAsia" w:ascii="黑体" w:hAnsi="黑体" w:eastAsia="黑体" w:cs="黑体"/>
                <w:sz w:val="24"/>
              </w:rPr>
              <w:t>评分标准</w:t>
            </w:r>
          </w:p>
        </w:tc>
        <w:tc>
          <w:tcPr>
            <w:tcW w:w="893" w:type="dxa"/>
            <w:tcBorders>
              <w:top w:val="single" w:color="auto" w:sz="4" w:space="0"/>
              <w:left w:val="single" w:color="auto" w:sz="6" w:space="0"/>
              <w:bottom w:val="single" w:color="auto" w:sz="6" w:space="0"/>
              <w:right w:val="single" w:color="auto" w:sz="4" w:space="0"/>
            </w:tcBorders>
            <w:vAlign w:val="center"/>
          </w:tcPr>
          <w:p w14:paraId="6BC45C75">
            <w:pPr>
              <w:snapToGrid w:val="0"/>
              <w:spacing w:line="400" w:lineRule="exact"/>
              <w:jc w:val="both"/>
              <w:rPr>
                <w:rFonts w:hint="eastAsia" w:ascii="黑体" w:hAnsi="黑体" w:eastAsia="黑体" w:cs="黑体"/>
                <w:sz w:val="24"/>
                <w:lang w:eastAsia="zh-CN"/>
              </w:rPr>
            </w:pPr>
            <w:r>
              <w:rPr>
                <w:rFonts w:hint="eastAsia" w:ascii="黑体" w:hAnsi="黑体" w:eastAsia="黑体" w:cs="黑体"/>
                <w:sz w:val="24"/>
                <w:lang w:eastAsia="zh-CN"/>
              </w:rPr>
              <w:t>说明</w:t>
            </w:r>
          </w:p>
        </w:tc>
      </w:tr>
      <w:tr w14:paraId="66AA66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6F4D096">
            <w:pPr>
              <w:snapToGrid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353" w:type="dxa"/>
            <w:tcBorders>
              <w:top w:val="single" w:color="auto" w:sz="4" w:space="0"/>
              <w:left w:val="single" w:color="auto" w:sz="6" w:space="0"/>
              <w:bottom w:val="single" w:color="auto" w:sz="4" w:space="0"/>
              <w:right w:val="single" w:color="auto" w:sz="6" w:space="0"/>
            </w:tcBorders>
            <w:vAlign w:val="center"/>
          </w:tcPr>
          <w:p w14:paraId="72EB738F">
            <w:pPr>
              <w:snapToGrid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报价：</w:t>
            </w:r>
          </w:p>
          <w:p w14:paraId="49AFBCBB">
            <w:pPr>
              <w:snapToGrid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10分</w:t>
            </w:r>
          </w:p>
        </w:tc>
        <w:tc>
          <w:tcPr>
            <w:tcW w:w="5655" w:type="dxa"/>
            <w:tcBorders>
              <w:top w:val="single" w:color="auto" w:sz="4" w:space="0"/>
              <w:left w:val="single" w:color="auto" w:sz="6" w:space="0"/>
              <w:bottom w:val="single" w:color="auto" w:sz="4" w:space="0"/>
              <w:right w:val="single" w:color="auto" w:sz="4" w:space="0"/>
            </w:tcBorders>
            <w:vAlign w:val="center"/>
          </w:tcPr>
          <w:p w14:paraId="75E831B0">
            <w:pPr>
              <w:snapToGrid w:val="0"/>
              <w:spacing w:line="400" w:lineRule="exact"/>
              <w:ind w:firstLine="465"/>
              <w:rPr>
                <w:rFonts w:hint="default" w:ascii="Times New Roman" w:hAnsi="Times New Roman" w:eastAsia="仿宋_GB2312" w:cs="Times New Roman"/>
                <w:sz w:val="24"/>
              </w:rPr>
            </w:pPr>
            <w:r>
              <w:rPr>
                <w:rFonts w:hint="default" w:ascii="Times New Roman" w:hAnsi="Times New Roman" w:eastAsia="仿宋_GB2312" w:cs="Times New Roman"/>
                <w:sz w:val="24"/>
              </w:rPr>
              <w:t>满足比选文件要求且比选价格最低的比选报价为评标基准价，其价格分为满分（10分）。其他比选申请人的价格统一按照下列公式计算： 比选报价得分＝（评标基准价／比选报价）×10×100%。</w:t>
            </w:r>
          </w:p>
          <w:p w14:paraId="67C73262">
            <w:pPr>
              <w:snapToGrid w:val="0"/>
              <w:spacing w:line="400" w:lineRule="exact"/>
              <w:ind w:firstLine="465"/>
              <w:rPr>
                <w:rFonts w:hint="default" w:ascii="Times New Roman" w:hAnsi="Times New Roman" w:eastAsia="仿宋_GB2312" w:cs="Times New Roman"/>
                <w:sz w:val="24"/>
              </w:rPr>
            </w:pPr>
            <w:r>
              <w:rPr>
                <w:rFonts w:hint="default" w:ascii="Times New Roman" w:hAnsi="Times New Roman" w:eastAsia="仿宋_GB2312" w:cs="Times New Roman"/>
                <w:b/>
                <w:bCs/>
                <w:sz w:val="24"/>
              </w:rPr>
              <w:t>注：若比选报价超出最高限价的作无效申请处理。</w:t>
            </w:r>
          </w:p>
        </w:tc>
        <w:tc>
          <w:tcPr>
            <w:tcW w:w="893" w:type="dxa"/>
            <w:vMerge w:val="restart"/>
            <w:tcBorders>
              <w:top w:val="single" w:color="auto" w:sz="4" w:space="0"/>
              <w:left w:val="single" w:color="auto" w:sz="6" w:space="0"/>
              <w:bottom w:val="single" w:color="auto" w:sz="6" w:space="0"/>
              <w:right w:val="single" w:color="auto" w:sz="4" w:space="0"/>
            </w:tcBorders>
            <w:vAlign w:val="center"/>
          </w:tcPr>
          <w:p w14:paraId="5FE4C6C5">
            <w:pPr>
              <w:snapToGrid w:val="0"/>
              <w:spacing w:line="400" w:lineRule="exact"/>
              <w:ind w:firstLine="465"/>
              <w:rPr>
                <w:rFonts w:hint="default" w:ascii="Times New Roman" w:hAnsi="Times New Roman" w:eastAsia="仿宋_GB2312" w:cs="Times New Roman"/>
                <w:sz w:val="24"/>
              </w:rPr>
            </w:pPr>
          </w:p>
        </w:tc>
      </w:tr>
      <w:tr w14:paraId="1B9CDA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2259564">
            <w:pPr>
              <w:snapToGrid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1353" w:type="dxa"/>
            <w:tcBorders>
              <w:top w:val="single" w:color="auto" w:sz="4" w:space="0"/>
              <w:left w:val="single" w:color="auto" w:sz="6" w:space="0"/>
              <w:bottom w:val="single" w:color="auto" w:sz="4" w:space="0"/>
              <w:right w:val="single" w:color="auto" w:sz="6" w:space="0"/>
            </w:tcBorders>
            <w:vAlign w:val="center"/>
          </w:tcPr>
          <w:p w14:paraId="66E0D91E">
            <w:pPr>
              <w:snapToGrid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整体方案：40分</w:t>
            </w:r>
          </w:p>
        </w:tc>
        <w:tc>
          <w:tcPr>
            <w:tcW w:w="5655" w:type="dxa"/>
            <w:tcBorders>
              <w:top w:val="single" w:color="auto" w:sz="4" w:space="0"/>
              <w:left w:val="single" w:color="auto" w:sz="6" w:space="0"/>
              <w:bottom w:val="single" w:color="auto" w:sz="4" w:space="0"/>
              <w:right w:val="single" w:color="auto" w:sz="4" w:space="0"/>
            </w:tcBorders>
          </w:tcPr>
          <w:p w14:paraId="5AF65227">
            <w:pPr>
              <w:snapToGrid w:val="0"/>
              <w:spacing w:line="400" w:lineRule="exact"/>
              <w:ind w:firstLine="465"/>
              <w:rPr>
                <w:rFonts w:hint="default" w:ascii="Times New Roman" w:hAnsi="Times New Roman" w:eastAsia="仿宋_GB2312" w:cs="Times New Roman"/>
                <w:sz w:val="24"/>
              </w:rPr>
            </w:pPr>
            <w:r>
              <w:rPr>
                <w:rFonts w:hint="default" w:ascii="Times New Roman" w:hAnsi="Times New Roman" w:eastAsia="仿宋_GB2312" w:cs="Times New Roman"/>
                <w:sz w:val="24"/>
              </w:rPr>
              <w:t>比选人提供满足招标要求的项目整体方案。根据方案完整性进行综合打分。方案包含</w:t>
            </w:r>
            <w:bookmarkStart w:id="3" w:name="OLE_LINK61"/>
            <w:r>
              <w:rPr>
                <w:rFonts w:hint="default" w:ascii="Times New Roman" w:hAnsi="Times New Roman" w:eastAsia="仿宋_GB2312" w:cs="Times New Roman"/>
                <w:sz w:val="24"/>
              </w:rPr>
              <w:t>典型污染物跨介质传输特征</w:t>
            </w:r>
            <w:bookmarkEnd w:id="3"/>
            <w:r>
              <w:rPr>
                <w:rFonts w:hint="default" w:ascii="Times New Roman" w:hAnsi="Times New Roman" w:eastAsia="仿宋_GB2312" w:cs="Times New Roman"/>
                <w:sz w:val="24"/>
              </w:rPr>
              <w:t>和</w:t>
            </w:r>
            <w:bookmarkStart w:id="4" w:name="OLE_LINK62"/>
            <w:r>
              <w:rPr>
                <w:rFonts w:hint="default" w:ascii="Times New Roman" w:hAnsi="Times New Roman" w:eastAsia="仿宋_GB2312" w:cs="Times New Roman"/>
                <w:sz w:val="24"/>
              </w:rPr>
              <w:t>支撑跨介质立体监测预警技术</w:t>
            </w:r>
            <w:bookmarkEnd w:id="4"/>
            <w:r>
              <w:rPr>
                <w:rFonts w:hint="default" w:ascii="Times New Roman" w:hAnsi="Times New Roman" w:eastAsia="仿宋_GB2312" w:cs="Times New Roman"/>
                <w:sz w:val="24"/>
              </w:rPr>
              <w:t>两个主体内容，以及数据汇总提交，报告等提交内容。</w:t>
            </w:r>
          </w:p>
          <w:p w14:paraId="36BA7E7B">
            <w:pPr>
              <w:snapToGrid w:val="0"/>
              <w:spacing w:line="400" w:lineRule="exact"/>
              <w:ind w:firstLine="465"/>
              <w:rPr>
                <w:rFonts w:hint="default" w:ascii="Times New Roman" w:hAnsi="Times New Roman" w:eastAsia="仿宋_GB2312" w:cs="Times New Roman"/>
                <w:sz w:val="24"/>
              </w:rPr>
            </w:pPr>
            <w:r>
              <w:rPr>
                <w:rFonts w:hint="default" w:ascii="Times New Roman" w:hAnsi="Times New Roman" w:eastAsia="仿宋_GB2312" w:cs="Times New Roman"/>
                <w:sz w:val="24"/>
              </w:rPr>
              <w:t>1．项目背景与需求分析(15分）：</w:t>
            </w:r>
          </w:p>
          <w:p w14:paraId="2B930622">
            <w:pPr>
              <w:snapToGrid w:val="0"/>
              <w:spacing w:line="400" w:lineRule="exact"/>
              <w:ind w:firstLine="465"/>
              <w:rPr>
                <w:rFonts w:hint="default" w:ascii="Times New Roman" w:hAnsi="Times New Roman" w:eastAsia="仿宋_GB2312" w:cs="Times New Roman"/>
                <w:sz w:val="24"/>
              </w:rPr>
            </w:pPr>
            <w:r>
              <w:rPr>
                <w:rFonts w:hint="default" w:ascii="Times New Roman" w:hAnsi="Times New Roman" w:eastAsia="仿宋_GB2312" w:cs="Times New Roman"/>
                <w:sz w:val="24"/>
              </w:rPr>
              <w:t>投标人提供的服务方案及需求分析，包含①项目内容与国家重点研发项目的关联解读、②典型污染物跨介质传输特征（含：服务内容、项目的整体理解等）和</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 3 \* GB3 </w:instrText>
            </w:r>
            <w:r>
              <w:rPr>
                <w:rFonts w:hint="default" w:ascii="Times New Roman" w:hAnsi="Times New Roman" w:eastAsia="仿宋_GB2312" w:cs="Times New Roman"/>
                <w:sz w:val="24"/>
              </w:rPr>
              <w:fldChar w:fldCharType="separate"/>
            </w:r>
            <w:r>
              <w:rPr>
                <w:rFonts w:hint="default" w:ascii="Times New Roman" w:hAnsi="Times New Roman" w:eastAsia="仿宋_GB2312" w:cs="Times New Roman"/>
                <w:sz w:val="24"/>
              </w:rPr>
              <w:t>③</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支撑跨介质立体监测预警技术（含：服务内容、项目的整体理解等）。以上3项内容齐全无缺陷的得15分，每有一项内容未提供或描述存在缺陷（缺陷是指不适用于本项目，必要步骤缺失，前后不一致，语句有歧义，不符合相关标准、规范规定的情形）扣5分，扣完为止。</w:t>
            </w:r>
          </w:p>
          <w:p w14:paraId="425F0AD6">
            <w:pPr>
              <w:snapToGrid w:val="0"/>
              <w:spacing w:line="400" w:lineRule="exact"/>
              <w:ind w:firstLine="465"/>
              <w:rPr>
                <w:rFonts w:hint="default" w:ascii="Times New Roman" w:hAnsi="Times New Roman" w:eastAsia="仿宋_GB2312" w:cs="Times New Roman"/>
                <w:sz w:val="24"/>
              </w:rPr>
            </w:pPr>
            <w:r>
              <w:rPr>
                <w:rFonts w:hint="default" w:ascii="Times New Roman" w:hAnsi="Times New Roman" w:eastAsia="仿宋_GB2312" w:cs="Times New Roman"/>
                <w:sz w:val="24"/>
              </w:rPr>
              <w:t>2</w:t>
            </w:r>
            <w:bookmarkStart w:id="5" w:name="OLE_LINK64"/>
            <w:r>
              <w:rPr>
                <w:rFonts w:hint="default" w:ascii="Times New Roman" w:hAnsi="Times New Roman" w:eastAsia="仿宋_GB2312" w:cs="Times New Roman"/>
                <w:sz w:val="24"/>
              </w:rPr>
              <w:t>．大气-土壤-地下水跨介质条件下的同位素丰度测定</w:t>
            </w:r>
            <w:bookmarkEnd w:id="5"/>
            <w:r>
              <w:rPr>
                <w:rFonts w:hint="default" w:ascii="Times New Roman" w:hAnsi="Times New Roman" w:eastAsia="仿宋_GB2312" w:cs="Times New Roman"/>
                <w:sz w:val="24"/>
              </w:rPr>
              <w:t>（25分）：</w:t>
            </w:r>
          </w:p>
          <w:p w14:paraId="532F8E54">
            <w:pPr>
              <w:snapToGrid w:val="0"/>
              <w:spacing w:line="400" w:lineRule="exact"/>
              <w:ind w:firstLine="465"/>
              <w:rPr>
                <w:rFonts w:hint="default" w:ascii="Times New Roman" w:hAnsi="Times New Roman" w:eastAsia="仿宋_GB2312" w:cs="Times New Roman"/>
                <w:sz w:val="24"/>
              </w:rPr>
            </w:pPr>
            <w:r>
              <w:rPr>
                <w:rFonts w:hint="default" w:ascii="Times New Roman" w:hAnsi="Times New Roman" w:eastAsia="仿宋_GB2312" w:cs="Times New Roman"/>
                <w:sz w:val="24"/>
              </w:rPr>
              <w:t>投标人应结合采购需求做进一步阐述，重点阐述大气-土壤-地下水跨介质条件下的同位素丰度测定的方案。根据投标人提供的方案进行评审，内容包括：测样品采集预处理方法、测定方法、测定步骤、数据处理、结果质控等。以上5项内容齐全无缺陷的得25分，每有一项内容未提供或描述存在缺陷（缺陷是指不适用于本项目，必要步骤缺失，前后不一致，语句有歧义，不符合相关标准、规范规定的情形）扣5分，扣完为止。</w:t>
            </w:r>
          </w:p>
        </w:tc>
        <w:tc>
          <w:tcPr>
            <w:tcW w:w="893" w:type="dxa"/>
            <w:vMerge w:val="continue"/>
            <w:tcBorders>
              <w:top w:val="single" w:color="auto" w:sz="4" w:space="0"/>
              <w:left w:val="single" w:color="auto" w:sz="6" w:space="0"/>
              <w:bottom w:val="single" w:color="auto" w:sz="6" w:space="0"/>
              <w:right w:val="single" w:color="auto" w:sz="4" w:space="0"/>
            </w:tcBorders>
            <w:vAlign w:val="center"/>
          </w:tcPr>
          <w:p w14:paraId="62741D81">
            <w:pPr>
              <w:snapToGrid w:val="0"/>
              <w:spacing w:line="400" w:lineRule="exact"/>
              <w:ind w:firstLine="465"/>
              <w:rPr>
                <w:rFonts w:hint="default" w:ascii="Times New Roman" w:hAnsi="Times New Roman" w:eastAsia="仿宋_GB2312" w:cs="Times New Roman"/>
                <w:sz w:val="24"/>
              </w:rPr>
            </w:pPr>
          </w:p>
        </w:tc>
      </w:tr>
      <w:tr w14:paraId="1922D1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B818989">
            <w:pPr>
              <w:snapToGrid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353" w:type="dxa"/>
            <w:tcBorders>
              <w:top w:val="single" w:color="auto" w:sz="4" w:space="0"/>
              <w:left w:val="single" w:color="auto" w:sz="6" w:space="0"/>
              <w:bottom w:val="single" w:color="auto" w:sz="4" w:space="0"/>
              <w:right w:val="single" w:color="auto" w:sz="6" w:space="0"/>
            </w:tcBorders>
            <w:vAlign w:val="center"/>
          </w:tcPr>
          <w:p w14:paraId="63864208">
            <w:pPr>
              <w:snapToGrid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工作难点及解决方案：</w:t>
            </w:r>
          </w:p>
          <w:p w14:paraId="30A01116">
            <w:pPr>
              <w:snapToGrid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5分</w:t>
            </w:r>
          </w:p>
        </w:tc>
        <w:tc>
          <w:tcPr>
            <w:tcW w:w="5655" w:type="dxa"/>
            <w:tcBorders>
              <w:top w:val="single" w:color="auto" w:sz="4" w:space="0"/>
              <w:left w:val="single" w:color="auto" w:sz="6" w:space="0"/>
              <w:bottom w:val="single" w:color="auto" w:sz="4" w:space="0"/>
              <w:right w:val="single" w:color="auto" w:sz="4" w:space="0"/>
            </w:tcBorders>
          </w:tcPr>
          <w:p w14:paraId="07BC4D37">
            <w:pPr>
              <w:snapToGrid w:val="0"/>
              <w:spacing w:line="400" w:lineRule="exact"/>
              <w:ind w:firstLine="465"/>
              <w:rPr>
                <w:rFonts w:hint="default" w:ascii="Times New Roman" w:hAnsi="Times New Roman" w:eastAsia="仿宋_GB2312" w:cs="Times New Roman"/>
                <w:sz w:val="24"/>
              </w:rPr>
            </w:pPr>
            <w:r>
              <w:rPr>
                <w:rFonts w:hint="default" w:ascii="Times New Roman" w:hAnsi="Times New Roman" w:eastAsia="仿宋_GB2312" w:cs="Times New Roman"/>
                <w:sz w:val="24"/>
              </w:rPr>
              <w:t>应包括项目实施难点分析、项目实施关键过程分析、解决措施、优势项等内容。方案内容应完整性强、针对性强、可执行性强；上述内容全部覆盖得5分，缺少一项扣0.5分，扣完为止。</w:t>
            </w:r>
          </w:p>
        </w:tc>
        <w:tc>
          <w:tcPr>
            <w:tcW w:w="893" w:type="dxa"/>
            <w:tcBorders>
              <w:top w:val="single" w:color="auto" w:sz="6" w:space="0"/>
              <w:left w:val="single" w:color="auto" w:sz="6" w:space="0"/>
              <w:bottom w:val="single" w:color="auto" w:sz="6" w:space="0"/>
              <w:right w:val="single" w:color="auto" w:sz="4" w:space="0"/>
            </w:tcBorders>
            <w:vAlign w:val="center"/>
          </w:tcPr>
          <w:p w14:paraId="5DEAF0C0">
            <w:pPr>
              <w:snapToGrid w:val="0"/>
              <w:spacing w:line="400" w:lineRule="exact"/>
              <w:ind w:firstLine="465"/>
              <w:rPr>
                <w:rFonts w:hint="default" w:ascii="Times New Roman" w:hAnsi="Times New Roman" w:eastAsia="仿宋_GB2312" w:cs="Times New Roman"/>
                <w:sz w:val="24"/>
              </w:rPr>
            </w:pPr>
          </w:p>
        </w:tc>
      </w:tr>
      <w:tr w14:paraId="28A999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7C4C28D">
            <w:pPr>
              <w:snapToGrid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353" w:type="dxa"/>
            <w:tcBorders>
              <w:top w:val="single" w:color="auto" w:sz="4" w:space="0"/>
              <w:left w:val="single" w:color="auto" w:sz="6" w:space="0"/>
              <w:bottom w:val="single" w:color="auto" w:sz="4" w:space="0"/>
              <w:right w:val="single" w:color="auto" w:sz="6" w:space="0"/>
            </w:tcBorders>
            <w:vAlign w:val="center"/>
          </w:tcPr>
          <w:p w14:paraId="026888EC">
            <w:pPr>
              <w:snapToGrid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进度计划:</w:t>
            </w:r>
          </w:p>
          <w:p w14:paraId="7F597636">
            <w:pPr>
              <w:snapToGrid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5分</w:t>
            </w:r>
          </w:p>
        </w:tc>
        <w:tc>
          <w:tcPr>
            <w:tcW w:w="5655" w:type="dxa"/>
            <w:tcBorders>
              <w:top w:val="single" w:color="auto" w:sz="4" w:space="0"/>
              <w:left w:val="single" w:color="auto" w:sz="6" w:space="0"/>
              <w:bottom w:val="single" w:color="auto" w:sz="4" w:space="0"/>
              <w:right w:val="single" w:color="auto" w:sz="4" w:space="0"/>
            </w:tcBorders>
          </w:tcPr>
          <w:p w14:paraId="2618E377">
            <w:pPr>
              <w:snapToGrid w:val="0"/>
              <w:spacing w:line="400" w:lineRule="exact"/>
              <w:ind w:firstLine="465"/>
              <w:rPr>
                <w:rFonts w:hint="default" w:ascii="Times New Roman" w:hAnsi="Times New Roman" w:eastAsia="仿宋_GB2312" w:cs="Times New Roman"/>
                <w:sz w:val="24"/>
              </w:rPr>
            </w:pPr>
            <w:r>
              <w:rPr>
                <w:rFonts w:hint="default" w:ascii="Times New Roman" w:hAnsi="Times New Roman" w:eastAsia="仿宋_GB2312" w:cs="Times New Roman"/>
                <w:sz w:val="24"/>
              </w:rPr>
              <w:t>为保证项目顺利完成，各项工作有明确的</w:t>
            </w:r>
            <w:bookmarkStart w:id="6" w:name="OLE_LINK67"/>
            <w:r>
              <w:rPr>
                <w:rFonts w:hint="default" w:ascii="Times New Roman" w:hAnsi="Times New Roman" w:eastAsia="仿宋_GB2312" w:cs="Times New Roman"/>
                <w:sz w:val="24"/>
              </w:rPr>
              <w:t>任务进度计划</w:t>
            </w:r>
            <w:bookmarkEnd w:id="6"/>
            <w:r>
              <w:rPr>
                <w:rFonts w:hint="default" w:ascii="Times New Roman" w:hAnsi="Times New Roman" w:eastAsia="仿宋_GB2312" w:cs="Times New Roman"/>
                <w:sz w:val="24"/>
              </w:rPr>
              <w:t>，测试开展和报告提交计划满足课题进展需求。任务进度计划需包含详细的时间工作安排。提供上述内容全部涵盖得5分；不提供的，该项得0分。</w:t>
            </w:r>
          </w:p>
        </w:tc>
        <w:tc>
          <w:tcPr>
            <w:tcW w:w="893" w:type="dxa"/>
            <w:tcBorders>
              <w:top w:val="single" w:color="auto" w:sz="6" w:space="0"/>
              <w:left w:val="single" w:color="auto" w:sz="6" w:space="0"/>
              <w:bottom w:val="single" w:color="auto" w:sz="6" w:space="0"/>
              <w:right w:val="single" w:color="auto" w:sz="4" w:space="0"/>
            </w:tcBorders>
            <w:vAlign w:val="center"/>
          </w:tcPr>
          <w:p w14:paraId="23DB21BA">
            <w:pPr>
              <w:snapToGrid w:val="0"/>
              <w:spacing w:line="400" w:lineRule="exact"/>
              <w:ind w:firstLine="465"/>
              <w:rPr>
                <w:rFonts w:hint="default" w:ascii="Times New Roman" w:hAnsi="Times New Roman" w:eastAsia="仿宋_GB2312" w:cs="Times New Roman"/>
                <w:sz w:val="24"/>
              </w:rPr>
            </w:pPr>
          </w:p>
        </w:tc>
      </w:tr>
      <w:tr w14:paraId="613A07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D7ABD5A">
            <w:pPr>
              <w:snapToGrid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353" w:type="dxa"/>
            <w:tcBorders>
              <w:top w:val="single" w:color="auto" w:sz="4" w:space="0"/>
              <w:left w:val="single" w:color="auto" w:sz="6" w:space="0"/>
              <w:bottom w:val="single" w:color="auto" w:sz="4" w:space="0"/>
              <w:right w:val="single" w:color="auto" w:sz="6" w:space="0"/>
            </w:tcBorders>
            <w:vAlign w:val="center"/>
          </w:tcPr>
          <w:p w14:paraId="38BEDE31">
            <w:pPr>
              <w:snapToGrid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技术实力：30分</w:t>
            </w:r>
          </w:p>
        </w:tc>
        <w:tc>
          <w:tcPr>
            <w:tcW w:w="5655" w:type="dxa"/>
            <w:tcBorders>
              <w:top w:val="single" w:color="auto" w:sz="4" w:space="0"/>
              <w:left w:val="single" w:color="auto" w:sz="6" w:space="0"/>
              <w:bottom w:val="single" w:color="auto" w:sz="4" w:space="0"/>
              <w:right w:val="single" w:color="auto" w:sz="4" w:space="0"/>
            </w:tcBorders>
          </w:tcPr>
          <w:p w14:paraId="0D5ED5FF">
            <w:pPr>
              <w:snapToGrid w:val="0"/>
              <w:spacing w:line="400" w:lineRule="exact"/>
              <w:ind w:firstLine="465"/>
              <w:rPr>
                <w:rFonts w:hint="default" w:ascii="Times New Roman" w:hAnsi="Times New Roman" w:eastAsia="仿宋_GB2312" w:cs="Times New Roman"/>
                <w:sz w:val="24"/>
              </w:rPr>
            </w:pPr>
            <w:r>
              <w:rPr>
                <w:rFonts w:hint="default" w:ascii="Times New Roman" w:hAnsi="Times New Roman" w:eastAsia="仿宋_GB2312" w:cs="Times New Roman"/>
                <w:sz w:val="24"/>
              </w:rPr>
              <w:t>1.投标人具备环境大数据分析能力，在基于同位素丰度测试方法研究环境数据方面，以第一或通讯作者发表过国内核心期刊文章。每提供一篇文章得2分，最高得12分。（须提供在有效期内的论文复印件，上述证明材料登记时间晚于招标公告发出时间的证书不予评分）</w:t>
            </w:r>
          </w:p>
          <w:p w14:paraId="0A444319">
            <w:pPr>
              <w:snapToGrid w:val="0"/>
              <w:spacing w:line="400" w:lineRule="exact"/>
              <w:ind w:firstLine="465"/>
              <w:rPr>
                <w:rFonts w:hint="default" w:ascii="Times New Roman" w:hAnsi="Times New Roman" w:eastAsia="仿宋_GB2312" w:cs="Times New Roman"/>
                <w:sz w:val="24"/>
              </w:rPr>
            </w:pPr>
            <w:r>
              <w:rPr>
                <w:rFonts w:hint="default" w:ascii="Times New Roman" w:hAnsi="Times New Roman" w:eastAsia="仿宋_GB2312" w:cs="Times New Roman"/>
                <w:sz w:val="24"/>
              </w:rPr>
              <w:t>2.投标人针对本项目的配置人员情况（12分）：（1）项目负责人具有相关高级职称得4分；具有中级职称得2分，其他不得分。本项目最多得4分。（2）项目质量负责人具有相关专业高级职称得4分；相关中级职称得2分，其他不得分。本项目最多得4分。（3）投入的技术人员中具备相关专业工程师每个加1分。本项目最多得4分。</w:t>
            </w:r>
          </w:p>
          <w:p w14:paraId="77CED70B">
            <w:pPr>
              <w:snapToGrid w:val="0"/>
              <w:spacing w:line="400" w:lineRule="exact"/>
              <w:ind w:firstLine="465"/>
              <w:rPr>
                <w:rFonts w:hint="default" w:ascii="Times New Roman" w:hAnsi="Times New Roman" w:eastAsia="仿宋_GB2312" w:cs="Times New Roman"/>
                <w:sz w:val="24"/>
              </w:rPr>
            </w:pPr>
            <w:r>
              <w:rPr>
                <w:rFonts w:hint="default" w:ascii="Times New Roman" w:hAnsi="Times New Roman" w:eastAsia="仿宋_GB2312" w:cs="Times New Roman"/>
                <w:sz w:val="24"/>
              </w:rPr>
              <w:t>注：相关专业指环境科学、环境工程、生态学、水利及水文等，提供职称证书复印件。</w:t>
            </w:r>
          </w:p>
          <w:p w14:paraId="551CAD57">
            <w:pPr>
              <w:snapToGrid w:val="0"/>
              <w:spacing w:line="400" w:lineRule="exact"/>
              <w:ind w:firstLine="465"/>
              <w:rPr>
                <w:rFonts w:hint="default" w:ascii="Times New Roman" w:hAnsi="Times New Roman" w:eastAsia="仿宋_GB2312" w:cs="Times New Roman"/>
                <w:sz w:val="24"/>
              </w:rPr>
            </w:pPr>
            <w:r>
              <w:rPr>
                <w:rFonts w:hint="default" w:ascii="Times New Roman" w:hAnsi="Times New Roman" w:eastAsia="仿宋_GB2312" w:cs="Times New Roman"/>
                <w:sz w:val="24"/>
              </w:rPr>
              <w:t>3.投标人在同位素数据分析和模型构建方面获得过科研奖励的得6分；投标人在同位素数据分析和模型构建方面工作业绩的得2分。最多得6分，</w:t>
            </w:r>
            <w:r>
              <w:rPr>
                <w:rFonts w:hint="default" w:ascii="Times New Roman" w:hAnsi="Times New Roman" w:eastAsia="仿宋_GB2312" w:cs="Times New Roman"/>
                <w:bCs/>
                <w:sz w:val="24"/>
                <w:lang w:val="zh-TW"/>
              </w:rPr>
              <w:t>不提供的，该项得</w:t>
            </w:r>
            <w:r>
              <w:rPr>
                <w:rFonts w:hint="default" w:ascii="Times New Roman" w:hAnsi="Times New Roman" w:eastAsia="仿宋_GB2312" w:cs="Times New Roman"/>
                <w:bCs/>
                <w:sz w:val="24"/>
              </w:rPr>
              <w:t>0</w:t>
            </w:r>
            <w:r>
              <w:rPr>
                <w:rFonts w:hint="default" w:ascii="Times New Roman" w:hAnsi="Times New Roman" w:eastAsia="仿宋_GB2312" w:cs="Times New Roman"/>
                <w:bCs/>
                <w:sz w:val="24"/>
                <w:lang w:val="zh-TW"/>
              </w:rPr>
              <w:t>分。</w:t>
            </w:r>
            <w:r>
              <w:rPr>
                <w:rFonts w:hint="default" w:ascii="Times New Roman" w:hAnsi="Times New Roman" w:eastAsia="仿宋_GB2312" w:cs="Times New Roman"/>
                <w:sz w:val="24"/>
              </w:rPr>
              <w:t>（须提供在有效期内的证明材料复印件，上述证明材料登记时间晚于招标公告发出时间的不予评分）</w:t>
            </w:r>
          </w:p>
        </w:tc>
        <w:tc>
          <w:tcPr>
            <w:tcW w:w="893" w:type="dxa"/>
            <w:tcBorders>
              <w:top w:val="single" w:color="auto" w:sz="6" w:space="0"/>
              <w:left w:val="single" w:color="auto" w:sz="6" w:space="0"/>
              <w:bottom w:val="single" w:color="auto" w:sz="6" w:space="0"/>
              <w:right w:val="single" w:color="auto" w:sz="4" w:space="0"/>
            </w:tcBorders>
            <w:vAlign w:val="center"/>
          </w:tcPr>
          <w:p w14:paraId="4832D59F">
            <w:pPr>
              <w:snapToGrid w:val="0"/>
              <w:spacing w:line="400" w:lineRule="exact"/>
              <w:ind w:firstLine="465"/>
              <w:rPr>
                <w:rFonts w:hint="default" w:ascii="Times New Roman" w:hAnsi="Times New Roman" w:eastAsia="仿宋_GB2312" w:cs="Times New Roman"/>
                <w:sz w:val="24"/>
              </w:rPr>
            </w:pPr>
          </w:p>
        </w:tc>
      </w:tr>
      <w:tr w14:paraId="6DD3C6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A43A7A6">
            <w:pPr>
              <w:snapToGrid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353" w:type="dxa"/>
            <w:tcBorders>
              <w:top w:val="single" w:color="auto" w:sz="4" w:space="0"/>
              <w:left w:val="single" w:color="auto" w:sz="6" w:space="0"/>
              <w:bottom w:val="single" w:color="auto" w:sz="4" w:space="0"/>
              <w:right w:val="single" w:color="auto" w:sz="6" w:space="0"/>
            </w:tcBorders>
            <w:vAlign w:val="center"/>
          </w:tcPr>
          <w:p w14:paraId="60833DF4">
            <w:pPr>
              <w:snapToGrid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履约业绩：</w:t>
            </w:r>
          </w:p>
          <w:p w14:paraId="25ECB1C1">
            <w:pPr>
              <w:snapToGrid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6分</w:t>
            </w:r>
          </w:p>
        </w:tc>
        <w:tc>
          <w:tcPr>
            <w:tcW w:w="5655" w:type="dxa"/>
            <w:tcBorders>
              <w:top w:val="single" w:color="auto" w:sz="4" w:space="0"/>
              <w:left w:val="single" w:color="auto" w:sz="6" w:space="0"/>
              <w:bottom w:val="single" w:color="auto" w:sz="4" w:space="0"/>
              <w:right w:val="single" w:color="auto" w:sz="4" w:space="0"/>
            </w:tcBorders>
          </w:tcPr>
          <w:p w14:paraId="046BF31D">
            <w:pPr>
              <w:snapToGrid w:val="0"/>
              <w:spacing w:line="400" w:lineRule="exact"/>
              <w:ind w:firstLine="465"/>
              <w:rPr>
                <w:rFonts w:hint="default" w:ascii="Times New Roman" w:hAnsi="Times New Roman" w:eastAsia="仿宋_GB2312" w:cs="Times New Roman"/>
                <w:sz w:val="24"/>
              </w:rPr>
            </w:pPr>
            <w:r>
              <w:rPr>
                <w:rFonts w:hint="default" w:ascii="Times New Roman" w:hAnsi="Times New Roman" w:eastAsia="仿宋_GB2312" w:cs="Times New Roman"/>
                <w:sz w:val="24"/>
              </w:rPr>
              <w:t>投标人结题完成过环保类同位素相关项目。提供国家级项目结题证书的得6分，提供省部级项目结题证书的得5分，提供厅局级项目结题证书的得3分，提供地市级结题证书的得2分，本项最多得6分。（须提供项目的合同复印件或中标通知书等证明材料打分，不提供不得分。）</w:t>
            </w:r>
          </w:p>
        </w:tc>
        <w:tc>
          <w:tcPr>
            <w:tcW w:w="893" w:type="dxa"/>
            <w:tcBorders>
              <w:top w:val="single" w:color="auto" w:sz="6" w:space="0"/>
              <w:left w:val="single" w:color="auto" w:sz="6" w:space="0"/>
              <w:bottom w:val="single" w:color="auto" w:sz="6" w:space="0"/>
              <w:right w:val="single" w:color="auto" w:sz="4" w:space="0"/>
            </w:tcBorders>
            <w:vAlign w:val="center"/>
          </w:tcPr>
          <w:p w14:paraId="3C5A4347">
            <w:pPr>
              <w:snapToGrid w:val="0"/>
              <w:spacing w:line="400" w:lineRule="exact"/>
              <w:ind w:firstLine="465"/>
              <w:rPr>
                <w:rFonts w:hint="default" w:ascii="Times New Roman" w:hAnsi="Times New Roman" w:eastAsia="仿宋_GB2312" w:cs="Times New Roman"/>
                <w:sz w:val="24"/>
              </w:rPr>
            </w:pPr>
          </w:p>
        </w:tc>
      </w:tr>
      <w:tr w14:paraId="0ED181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0831430">
            <w:pPr>
              <w:snapToGrid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7</w:t>
            </w:r>
          </w:p>
        </w:tc>
        <w:tc>
          <w:tcPr>
            <w:tcW w:w="1353" w:type="dxa"/>
            <w:tcBorders>
              <w:top w:val="single" w:color="auto" w:sz="4" w:space="0"/>
              <w:left w:val="single" w:color="auto" w:sz="6" w:space="0"/>
              <w:bottom w:val="single" w:color="auto" w:sz="4" w:space="0"/>
              <w:right w:val="single" w:color="auto" w:sz="6" w:space="0"/>
            </w:tcBorders>
            <w:vAlign w:val="center"/>
          </w:tcPr>
          <w:p w14:paraId="6FAA6826">
            <w:pPr>
              <w:snapToGrid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数据服务：</w:t>
            </w:r>
          </w:p>
          <w:p w14:paraId="776A7D9A">
            <w:pPr>
              <w:snapToGrid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4分</w:t>
            </w:r>
          </w:p>
        </w:tc>
        <w:tc>
          <w:tcPr>
            <w:tcW w:w="5655" w:type="dxa"/>
            <w:tcBorders>
              <w:top w:val="single" w:color="auto" w:sz="4" w:space="0"/>
              <w:left w:val="single" w:color="auto" w:sz="6" w:space="0"/>
              <w:bottom w:val="single" w:color="auto" w:sz="4" w:space="0"/>
              <w:right w:val="single" w:color="auto" w:sz="4" w:space="0"/>
            </w:tcBorders>
          </w:tcPr>
          <w:p w14:paraId="4B616A44">
            <w:pPr>
              <w:snapToGrid w:val="0"/>
              <w:spacing w:line="400" w:lineRule="exact"/>
              <w:ind w:firstLine="465"/>
              <w:rPr>
                <w:rFonts w:hint="default" w:ascii="Times New Roman" w:hAnsi="Times New Roman" w:eastAsia="仿宋_GB2312" w:cs="Times New Roman"/>
                <w:sz w:val="24"/>
              </w:rPr>
            </w:pPr>
            <w:r>
              <w:rPr>
                <w:rFonts w:hint="default" w:ascii="Times New Roman" w:hAnsi="Times New Roman" w:eastAsia="仿宋_GB2312" w:cs="Times New Roman"/>
                <w:sz w:val="24"/>
              </w:rPr>
              <w:t>签署数据后续服务协议，为课题相关研究数据解析及相关工作提供后续的服务。</w:t>
            </w:r>
          </w:p>
        </w:tc>
        <w:tc>
          <w:tcPr>
            <w:tcW w:w="893" w:type="dxa"/>
            <w:tcBorders>
              <w:top w:val="single" w:color="auto" w:sz="6" w:space="0"/>
              <w:left w:val="single" w:color="auto" w:sz="6" w:space="0"/>
              <w:bottom w:val="single" w:color="auto" w:sz="4" w:space="0"/>
              <w:right w:val="single" w:color="auto" w:sz="4" w:space="0"/>
            </w:tcBorders>
            <w:vAlign w:val="center"/>
          </w:tcPr>
          <w:p w14:paraId="73368D24">
            <w:pPr>
              <w:snapToGrid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提供承诺函</w:t>
            </w:r>
          </w:p>
        </w:tc>
      </w:tr>
    </w:tbl>
    <w:p w14:paraId="72A7687F">
      <w:pPr>
        <w:snapToGrid w:val="0"/>
        <w:spacing w:line="400" w:lineRule="exact"/>
        <w:ind w:firstLine="46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2"/>
    <w:p w14:paraId="1B60D5BD">
      <w:pPr>
        <w:jc w:val="center"/>
        <w:rPr>
          <w:rStyle w:val="16"/>
          <w:rFonts w:hint="eastAsia" w:ascii="黑体" w:hAnsi="黑体" w:eastAsia="黑体" w:cs="黑体"/>
          <w:b w:val="0"/>
          <w:bCs w:val="0"/>
          <w:color w:val="000000"/>
          <w:sz w:val="32"/>
          <w:szCs w:val="32"/>
        </w:rPr>
      </w:pPr>
      <w:r>
        <w:rPr>
          <w:rStyle w:val="16"/>
          <w:rFonts w:hint="eastAsia" w:ascii="黑体" w:hAnsi="黑体" w:eastAsia="黑体" w:cs="黑体"/>
          <w:b w:val="0"/>
          <w:bCs w:val="0"/>
          <w:color w:val="000000"/>
          <w:sz w:val="32"/>
          <w:szCs w:val="32"/>
        </w:rPr>
        <w:t>第二部分   应提供的材料</w:t>
      </w:r>
    </w:p>
    <w:p w14:paraId="6CF462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 报名应提供的材料</w:t>
      </w:r>
    </w:p>
    <w:p w14:paraId="766204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1.1采购申请函；</w:t>
      </w:r>
    </w:p>
    <w:p w14:paraId="29473D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1.2授权委托书；</w:t>
      </w:r>
    </w:p>
    <w:p w14:paraId="2D2009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注：文件格式见“附件”。</w:t>
      </w:r>
    </w:p>
    <w:p w14:paraId="411215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 供应商递交响应文件应提供的材料</w:t>
      </w:r>
    </w:p>
    <w:p w14:paraId="6DDC69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2.1比选文件；</w:t>
      </w:r>
    </w:p>
    <w:p w14:paraId="3BB77F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2.2采购申请函；</w:t>
      </w:r>
    </w:p>
    <w:p w14:paraId="0993DE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2.3授权委托书（可选）；</w:t>
      </w:r>
    </w:p>
    <w:p w14:paraId="08D2E2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2.4声明；</w:t>
      </w:r>
    </w:p>
    <w:p w14:paraId="1D4442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2.5承诺书；</w:t>
      </w:r>
    </w:p>
    <w:p w14:paraId="5EB5A5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2.6方案报价表</w:t>
      </w:r>
    </w:p>
    <w:p w14:paraId="799309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2.7其他有利于申请人的证明材料，格式自拟。</w:t>
      </w:r>
    </w:p>
    <w:p w14:paraId="18E383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注： 2.2～2.6文件格式见“附件”。</w:t>
      </w:r>
    </w:p>
    <w:p w14:paraId="6B286A1C">
      <w:pPr>
        <w:keepNext w:val="0"/>
        <w:keepLines w:val="0"/>
        <w:pageBreakBefore w:val="0"/>
        <w:kinsoku/>
        <w:wordWrap/>
        <w:autoSpaceDE/>
        <w:autoSpaceDN/>
        <w:bidi w:val="0"/>
        <w:snapToGrid/>
        <w:spacing w:line="560" w:lineRule="exact"/>
        <w:ind w:firstLine="640" w:firstLineChars="200"/>
        <w:textAlignment w:val="auto"/>
        <w:rPr>
          <w:rFonts w:hint="eastAsia" w:ascii="仿宋_GB2312" w:hAnsi="仿宋_GB2312" w:eastAsia="仿宋_GB2312" w:cs="仿宋_GB2312"/>
          <w:bCs/>
          <w:color w:val="000000"/>
          <w:sz w:val="32"/>
          <w:szCs w:val="32"/>
        </w:rPr>
      </w:pPr>
    </w:p>
    <w:p w14:paraId="087B97D5">
      <w:pPr>
        <w:pStyle w:val="17"/>
        <w:spacing w:before="0" w:after="0" w:line="360" w:lineRule="auto"/>
        <w:ind w:left="5250"/>
        <w:jc w:val="center"/>
        <w:rPr>
          <w:rStyle w:val="16"/>
          <w:rFonts w:hint="eastAsia" w:ascii="仿宋" w:hAnsi="仿宋" w:eastAsia="仿宋" w:cs="Times New Roman"/>
          <w:b/>
          <w:bCs/>
          <w:color w:val="000000"/>
          <w:sz w:val="28"/>
          <w:szCs w:val="28"/>
        </w:rPr>
      </w:pPr>
    </w:p>
    <w:p w14:paraId="087C69F9">
      <w:pPr>
        <w:spacing w:beforeAutospacing="1" w:afterAutospacing="1" w:line="360" w:lineRule="auto"/>
        <w:jc w:val="left"/>
        <w:rPr>
          <w:rStyle w:val="16"/>
          <w:rFonts w:hint="eastAsia" w:ascii="仿宋" w:hAnsi="仿宋" w:eastAsia="仿宋" w:cs="Times New Roman"/>
          <w:b/>
          <w:bCs/>
          <w:color w:val="000000"/>
          <w:kern w:val="44"/>
          <w:sz w:val="30"/>
          <w:szCs w:val="30"/>
        </w:rPr>
        <w:sectPr>
          <w:footerReference r:id="rId4" w:type="first"/>
          <w:footerReference r:id="rId3" w:type="default"/>
          <w:pgSz w:w="11906" w:h="16838"/>
          <w:pgMar w:top="2098" w:right="1474" w:bottom="1814" w:left="1587" w:header="851" w:footer="1417" w:gutter="0"/>
          <w:pgNumType w:fmt="decimal" w:start="1"/>
          <w:cols w:space="720" w:num="1"/>
          <w:titlePg/>
          <w:docGrid w:type="linesAndChars" w:linePitch="312" w:charSpace="0"/>
        </w:sectPr>
      </w:pPr>
    </w:p>
    <w:p w14:paraId="27FA33A6">
      <w:pPr>
        <w:spacing w:line="360" w:lineRule="auto"/>
        <w:jc w:val="center"/>
        <w:outlineLvl w:val="0"/>
        <w:rPr>
          <w:rStyle w:val="16"/>
          <w:rFonts w:hint="eastAsia" w:ascii="黑体" w:hAnsi="黑体" w:eastAsia="黑体" w:cs="黑体"/>
          <w:b w:val="0"/>
          <w:bCs/>
          <w:color w:val="000000"/>
          <w:kern w:val="44"/>
          <w:sz w:val="32"/>
          <w:szCs w:val="32"/>
        </w:rPr>
      </w:pPr>
      <w:r>
        <w:rPr>
          <w:rStyle w:val="16"/>
          <w:rFonts w:hint="eastAsia" w:ascii="黑体" w:hAnsi="黑体" w:eastAsia="黑体" w:cs="黑体"/>
          <w:b w:val="0"/>
          <w:bCs/>
          <w:color w:val="000000"/>
          <w:sz w:val="32"/>
          <w:szCs w:val="32"/>
        </w:rPr>
        <w:t>第三部分   附件</w:t>
      </w:r>
    </w:p>
    <w:p w14:paraId="449C38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eastAsia" w:ascii="仿宋_GB2312" w:hAnsi="仿宋_GB2312" w:eastAsia="仿宋_GB2312" w:cs="仿宋_GB2312"/>
          <w:bCs/>
          <w:color w:val="000000"/>
          <w:sz w:val="32"/>
          <w:szCs w:val="32"/>
        </w:rPr>
      </w:pPr>
      <w:r>
        <w:rPr>
          <w:rStyle w:val="16"/>
          <w:rFonts w:hint="eastAsia" w:ascii="仿宋_GB2312" w:hAnsi="仿宋_GB2312" w:eastAsia="仿宋_GB2312" w:cs="仿宋_GB2312"/>
          <w:bCs/>
          <w:color w:val="000000"/>
          <w:sz w:val="32"/>
          <w:szCs w:val="32"/>
        </w:rPr>
        <w:t>供应商递交响应文件应提供材料的部分附件模板。</w:t>
      </w:r>
    </w:p>
    <w:p w14:paraId="381D49E4">
      <w:pPr>
        <w:spacing w:line="360" w:lineRule="auto"/>
        <w:jc w:val="center"/>
        <w:rPr>
          <w:rStyle w:val="16"/>
          <w:rFonts w:hint="eastAsia" w:ascii="仿宋" w:hAnsi="仿宋" w:eastAsia="仿宋" w:cs="Times New Roman"/>
          <w:b/>
          <w:color w:val="000000"/>
          <w:sz w:val="28"/>
          <w:szCs w:val="28"/>
        </w:rPr>
      </w:pPr>
    </w:p>
    <w:p w14:paraId="56A88D43">
      <w:pPr>
        <w:spacing w:line="360" w:lineRule="auto"/>
        <w:jc w:val="left"/>
        <w:rPr>
          <w:rStyle w:val="16"/>
          <w:rFonts w:hint="eastAsia" w:ascii="仿宋" w:hAnsi="仿宋" w:eastAsia="仿宋" w:cs="Times New Roman"/>
          <w:b/>
          <w:sz w:val="28"/>
          <w:szCs w:val="28"/>
        </w:rPr>
        <w:sectPr>
          <w:pgSz w:w="11906" w:h="16838"/>
          <w:pgMar w:top="2098" w:right="1474" w:bottom="1984" w:left="1587" w:header="851" w:footer="851" w:gutter="0"/>
          <w:pgNumType w:fmt="decimal"/>
          <w:cols w:space="720" w:num="1"/>
          <w:docGrid w:type="linesAndChars" w:linePitch="312" w:charSpace="0"/>
        </w:sectPr>
      </w:pPr>
    </w:p>
    <w:p w14:paraId="1B403096">
      <w:pPr>
        <w:spacing w:line="360" w:lineRule="auto"/>
        <w:jc w:val="center"/>
        <w:outlineLvl w:val="1"/>
        <w:rPr>
          <w:rStyle w:val="16"/>
          <w:rFonts w:hint="eastAsia" w:ascii="黑体" w:hAnsi="黑体" w:eastAsia="黑体" w:cs="黑体"/>
          <w:b w:val="0"/>
          <w:bCs/>
          <w:sz w:val="28"/>
          <w:szCs w:val="28"/>
        </w:rPr>
      </w:pPr>
      <w:r>
        <w:rPr>
          <w:rStyle w:val="16"/>
          <w:rFonts w:hint="eastAsia" w:ascii="黑体" w:hAnsi="黑体" w:eastAsia="黑体" w:cs="黑体"/>
          <w:b w:val="0"/>
          <w:bCs/>
          <w:sz w:val="28"/>
          <w:szCs w:val="28"/>
        </w:rPr>
        <w:t>一、采购申请函</w:t>
      </w:r>
    </w:p>
    <w:p w14:paraId="0894BDE4">
      <w:pPr>
        <w:spacing w:line="360" w:lineRule="auto"/>
        <w:rPr>
          <w:rStyle w:val="16"/>
          <w:rFonts w:hint="eastAsia" w:ascii="仿宋_GB2312" w:hAnsi="仿宋_GB2312" w:eastAsia="仿宋_GB2312" w:cs="仿宋_GB2312"/>
          <w:color w:val="000000"/>
          <w:sz w:val="28"/>
          <w:szCs w:val="28"/>
          <w:u w:val="single" w:color="000000"/>
        </w:rPr>
      </w:pPr>
      <w:r>
        <w:rPr>
          <w:rStyle w:val="16"/>
          <w:rFonts w:hint="eastAsia" w:ascii="仿宋_GB2312" w:hAnsi="仿宋_GB2312" w:eastAsia="仿宋_GB2312" w:cs="仿宋_GB2312"/>
          <w:color w:val="000000"/>
          <w:sz w:val="28"/>
          <w:szCs w:val="28"/>
        </w:rPr>
        <w:t>致：</w:t>
      </w:r>
      <w:r>
        <w:rPr>
          <w:rStyle w:val="16"/>
          <w:rFonts w:hint="eastAsia" w:ascii="仿宋_GB2312" w:hAnsi="仿宋_GB2312" w:eastAsia="仿宋_GB2312" w:cs="仿宋_GB2312"/>
          <w:color w:val="000000"/>
          <w:sz w:val="28"/>
          <w:szCs w:val="28"/>
          <w:u w:val="single" w:color="000000"/>
        </w:rPr>
        <w:t>四川省生态环境监测总站</w:t>
      </w:r>
    </w:p>
    <w:p w14:paraId="4D458DAC">
      <w:pPr>
        <w:ind w:firstLine="560" w:firstLineChars="200"/>
        <w:jc w:val="left"/>
        <w:rPr>
          <w:rStyle w:val="16"/>
          <w:rFonts w:hint="eastAsia" w:ascii="仿宋_GB2312" w:hAnsi="仿宋_GB2312" w:eastAsia="仿宋_GB2312" w:cs="仿宋_GB2312"/>
          <w:color w:val="000000"/>
          <w:sz w:val="28"/>
          <w:szCs w:val="28"/>
        </w:rPr>
      </w:pPr>
      <w:r>
        <w:rPr>
          <w:rStyle w:val="16"/>
          <w:rFonts w:hint="eastAsia" w:ascii="仿宋_GB2312" w:hAnsi="仿宋_GB2312" w:eastAsia="仿宋_GB2312" w:cs="仿宋_GB2312"/>
          <w:color w:val="000000"/>
          <w:sz w:val="28"/>
          <w:szCs w:val="28"/>
        </w:rPr>
        <w:t>一、我方经审查并完全理解了贵方所提供的采购文件及其附件，以下签字人作为</w:t>
      </w:r>
      <w:r>
        <w:rPr>
          <w:rStyle w:val="16"/>
          <w:rFonts w:hint="eastAsia" w:ascii="仿宋_GB2312" w:hAnsi="仿宋_GB2312" w:eastAsia="仿宋_GB2312" w:cs="仿宋_GB2312"/>
          <w:color w:val="000000"/>
          <w:sz w:val="28"/>
          <w:szCs w:val="28"/>
          <w:u w:val="single" w:color="000000"/>
        </w:rPr>
        <w:t xml:space="preserve">                </w:t>
      </w:r>
      <w:r>
        <w:rPr>
          <w:rStyle w:val="16"/>
          <w:rFonts w:hint="eastAsia" w:ascii="仿宋_GB2312" w:hAnsi="仿宋_GB2312" w:eastAsia="仿宋_GB2312" w:cs="仿宋_GB2312"/>
          <w:color w:val="000000"/>
          <w:sz w:val="28"/>
          <w:szCs w:val="28"/>
        </w:rPr>
        <w:t xml:space="preserve">（申请人全称）合法行使其职责的代表,为参与 </w:t>
      </w:r>
      <w:r>
        <w:rPr>
          <w:rStyle w:val="16"/>
          <w:rFonts w:hint="eastAsia" w:ascii="仿宋_GB2312" w:hAnsi="仿宋_GB2312" w:eastAsia="仿宋_GB2312" w:cs="仿宋_GB2312"/>
          <w:color w:val="000000"/>
          <w:sz w:val="28"/>
          <w:szCs w:val="28"/>
          <w:u w:val="single"/>
        </w:rPr>
        <w:t>基于同位素的四川省主要地形“污染源-污染驱动-跨介质传输过程-污染通量与均衡”测试与数据解析服务采购</w:t>
      </w:r>
      <w:r>
        <w:rPr>
          <w:rStyle w:val="16"/>
          <w:rFonts w:hint="eastAsia" w:ascii="仿宋_GB2312" w:hAnsi="仿宋_GB2312" w:eastAsia="仿宋_GB2312" w:cs="仿宋_GB2312"/>
          <w:color w:val="000000"/>
          <w:sz w:val="28"/>
          <w:szCs w:val="28"/>
        </w:rPr>
        <w:t>，参加此次组织的项目采购。</w:t>
      </w:r>
    </w:p>
    <w:p w14:paraId="0058E205">
      <w:pPr>
        <w:spacing w:line="360" w:lineRule="auto"/>
        <w:ind w:firstLine="560" w:firstLineChars="200"/>
        <w:rPr>
          <w:rStyle w:val="16"/>
          <w:rFonts w:hint="eastAsia" w:ascii="仿宋_GB2312" w:hAnsi="仿宋_GB2312" w:eastAsia="仿宋_GB2312" w:cs="仿宋_GB2312"/>
          <w:color w:val="000000"/>
          <w:sz w:val="28"/>
          <w:szCs w:val="28"/>
        </w:rPr>
      </w:pPr>
      <w:r>
        <w:rPr>
          <w:rStyle w:val="16"/>
          <w:rFonts w:hint="eastAsia" w:ascii="仿宋_GB2312" w:hAnsi="仿宋_GB2312" w:eastAsia="仿宋_GB2312" w:cs="仿宋_GB2312"/>
          <w:color w:val="000000"/>
          <w:sz w:val="28"/>
          <w:szCs w:val="28"/>
        </w:rPr>
        <w:t>二、我方已详细阅读全部采购文件及有关附件，同时我方对提交的所有采购申请文件负责。贵方在此被授权可对我方进行查询或调查，以证实有关本申请提交的声明、文件和资料的真实性。</w:t>
      </w:r>
    </w:p>
    <w:p w14:paraId="6CE387D2">
      <w:pPr>
        <w:spacing w:line="360" w:lineRule="auto"/>
        <w:ind w:firstLine="560" w:firstLineChars="200"/>
        <w:rPr>
          <w:rStyle w:val="16"/>
          <w:rFonts w:hint="eastAsia" w:ascii="仿宋_GB2312" w:hAnsi="仿宋_GB2312" w:eastAsia="仿宋_GB2312" w:cs="仿宋_GB2312"/>
          <w:color w:val="000000"/>
          <w:sz w:val="28"/>
          <w:szCs w:val="28"/>
        </w:rPr>
      </w:pPr>
      <w:r>
        <w:rPr>
          <w:rStyle w:val="16"/>
          <w:rFonts w:hint="eastAsia" w:ascii="仿宋_GB2312" w:hAnsi="仿宋_GB2312" w:eastAsia="仿宋_GB2312" w:cs="仿宋_GB2312"/>
          <w:color w:val="000000"/>
          <w:sz w:val="28"/>
          <w:szCs w:val="28"/>
        </w:rPr>
        <w:t>三、我方完全理解采购人因法律和政策原因取消采购以及拒绝所有的申请文件，并对此类行动不承担任何责任，亦无义务向采购申请人解释其原因。</w:t>
      </w:r>
    </w:p>
    <w:p w14:paraId="6FDE715C">
      <w:pPr>
        <w:spacing w:line="360" w:lineRule="auto"/>
        <w:ind w:firstLine="560" w:firstLineChars="200"/>
        <w:rPr>
          <w:rStyle w:val="16"/>
          <w:rFonts w:hint="eastAsia" w:ascii="仿宋_GB2312" w:hAnsi="仿宋_GB2312" w:eastAsia="仿宋_GB2312" w:cs="仿宋_GB2312"/>
          <w:color w:val="000000"/>
          <w:sz w:val="28"/>
          <w:szCs w:val="28"/>
        </w:rPr>
      </w:pPr>
      <w:r>
        <w:rPr>
          <w:rStyle w:val="16"/>
          <w:rFonts w:hint="eastAsia" w:ascii="仿宋_GB2312" w:hAnsi="仿宋_GB2312" w:eastAsia="仿宋_GB2312" w:cs="仿宋_GB2312"/>
          <w:color w:val="000000"/>
          <w:sz w:val="28"/>
          <w:szCs w:val="28"/>
        </w:rPr>
        <w:t>四、如我方中选，我方保证接受贵方在项目要求、项目费支付额度及支付方式、业务质量及进度要求等方面的管理规定。</w:t>
      </w:r>
    </w:p>
    <w:p w14:paraId="43AFB834">
      <w:pPr>
        <w:spacing w:line="360" w:lineRule="auto"/>
        <w:ind w:firstLine="560" w:firstLineChars="200"/>
        <w:rPr>
          <w:rStyle w:val="16"/>
          <w:rFonts w:hint="eastAsia" w:ascii="仿宋_GB2312" w:hAnsi="仿宋_GB2312" w:eastAsia="仿宋_GB2312" w:cs="仿宋_GB2312"/>
          <w:color w:val="000000"/>
          <w:sz w:val="28"/>
          <w:szCs w:val="28"/>
        </w:rPr>
      </w:pPr>
      <w:r>
        <w:rPr>
          <w:rStyle w:val="16"/>
          <w:rFonts w:hint="eastAsia" w:ascii="仿宋_GB2312" w:hAnsi="仿宋_GB2312" w:eastAsia="仿宋_GB2312" w:cs="仿宋_GB2312"/>
          <w:color w:val="000000"/>
          <w:sz w:val="28"/>
          <w:szCs w:val="28"/>
        </w:rPr>
        <w:t>五、我方对提交材料中的所有陈述和声明的真实性和正确性负责。</w:t>
      </w:r>
    </w:p>
    <w:p w14:paraId="473A7E61">
      <w:pPr>
        <w:spacing w:line="360" w:lineRule="auto"/>
        <w:ind w:firstLine="560" w:firstLineChars="200"/>
        <w:rPr>
          <w:rStyle w:val="16"/>
          <w:rFonts w:hint="eastAsia" w:ascii="仿宋_GB2312" w:hAnsi="仿宋_GB2312" w:eastAsia="仿宋_GB2312" w:cs="仿宋_GB2312"/>
          <w:color w:val="000000"/>
          <w:sz w:val="28"/>
          <w:szCs w:val="28"/>
        </w:rPr>
      </w:pPr>
      <w:r>
        <w:rPr>
          <w:rStyle w:val="16"/>
          <w:rFonts w:hint="eastAsia" w:ascii="仿宋_GB2312" w:hAnsi="仿宋_GB2312" w:eastAsia="仿宋_GB2312" w:cs="仿宋_GB2312"/>
          <w:color w:val="000000"/>
          <w:sz w:val="28"/>
          <w:szCs w:val="28"/>
        </w:rPr>
        <w:t>采购申请人：_________________________（签字）</w:t>
      </w:r>
    </w:p>
    <w:p w14:paraId="2A0F20C3">
      <w:pPr>
        <w:spacing w:line="360" w:lineRule="auto"/>
        <w:ind w:firstLine="560" w:firstLineChars="200"/>
        <w:rPr>
          <w:rStyle w:val="16"/>
          <w:rFonts w:hint="eastAsia" w:ascii="仿宋_GB2312" w:hAnsi="仿宋_GB2312" w:eastAsia="仿宋_GB2312" w:cs="仿宋_GB2312"/>
          <w:color w:val="000000"/>
          <w:sz w:val="28"/>
          <w:szCs w:val="28"/>
        </w:rPr>
      </w:pPr>
      <w:r>
        <w:rPr>
          <w:rStyle w:val="16"/>
          <w:rFonts w:hint="eastAsia" w:ascii="仿宋_GB2312" w:hAnsi="仿宋_GB2312" w:eastAsia="仿宋_GB2312" w:cs="仿宋_GB2312"/>
          <w:color w:val="000000"/>
          <w:sz w:val="28"/>
          <w:szCs w:val="28"/>
        </w:rPr>
        <w:t>采购申请人单位：___________</w:t>
      </w:r>
      <w:r>
        <w:rPr>
          <w:rStyle w:val="16"/>
          <w:rFonts w:hint="eastAsia" w:ascii="仿宋_GB2312" w:hAnsi="仿宋_GB2312" w:eastAsia="仿宋_GB2312" w:cs="仿宋_GB2312"/>
          <w:color w:val="000000"/>
          <w:sz w:val="28"/>
          <w:szCs w:val="28"/>
          <w:u w:val="single"/>
        </w:rPr>
        <w:t>__       _</w:t>
      </w:r>
      <w:r>
        <w:rPr>
          <w:rStyle w:val="16"/>
          <w:rFonts w:hint="eastAsia" w:ascii="仿宋_GB2312" w:hAnsi="仿宋_GB2312" w:eastAsia="仿宋_GB2312" w:cs="仿宋_GB2312"/>
          <w:color w:val="000000"/>
          <w:sz w:val="28"/>
          <w:szCs w:val="28"/>
        </w:rPr>
        <w:t>（盖单位行政公章）</w:t>
      </w:r>
    </w:p>
    <w:p w14:paraId="2168A44B">
      <w:pPr>
        <w:spacing w:line="360" w:lineRule="auto"/>
        <w:ind w:firstLine="560" w:firstLineChars="200"/>
        <w:rPr>
          <w:rStyle w:val="16"/>
          <w:rFonts w:hint="eastAsia" w:ascii="仿宋_GB2312" w:hAnsi="仿宋_GB2312" w:eastAsia="仿宋_GB2312" w:cs="仿宋_GB2312"/>
          <w:color w:val="000000"/>
          <w:sz w:val="28"/>
          <w:szCs w:val="28"/>
        </w:rPr>
      </w:pPr>
      <w:r>
        <w:rPr>
          <w:rStyle w:val="16"/>
          <w:rFonts w:hint="eastAsia" w:ascii="仿宋_GB2312" w:hAnsi="仿宋_GB2312" w:eastAsia="仿宋_GB2312" w:cs="仿宋_GB2312"/>
          <w:color w:val="000000"/>
          <w:sz w:val="28"/>
          <w:szCs w:val="28"/>
        </w:rPr>
        <w:t>地址：_________________________________________</w:t>
      </w:r>
    </w:p>
    <w:p w14:paraId="4673A7B7">
      <w:pPr>
        <w:spacing w:line="360" w:lineRule="auto"/>
        <w:ind w:firstLine="560" w:firstLineChars="200"/>
        <w:rPr>
          <w:rStyle w:val="16"/>
          <w:rFonts w:hint="eastAsia" w:ascii="仿宋_GB2312" w:hAnsi="仿宋_GB2312" w:eastAsia="仿宋_GB2312" w:cs="仿宋_GB2312"/>
          <w:color w:val="000000"/>
          <w:sz w:val="28"/>
          <w:szCs w:val="28"/>
        </w:rPr>
      </w:pPr>
      <w:r>
        <w:rPr>
          <w:rStyle w:val="16"/>
          <w:rFonts w:hint="eastAsia" w:ascii="仿宋_GB2312" w:hAnsi="仿宋_GB2312" w:eastAsia="仿宋_GB2312" w:cs="仿宋_GB2312"/>
          <w:color w:val="000000"/>
          <w:sz w:val="28"/>
          <w:szCs w:val="28"/>
        </w:rPr>
        <w:t>电话：_________________________________________</w:t>
      </w:r>
    </w:p>
    <w:p w14:paraId="5DF5E27B">
      <w:pPr>
        <w:spacing w:line="360" w:lineRule="auto"/>
        <w:ind w:firstLine="560" w:firstLineChars="200"/>
        <w:rPr>
          <w:rStyle w:val="16"/>
          <w:rFonts w:hint="eastAsia" w:ascii="仿宋_GB2312" w:hAnsi="仿宋_GB2312" w:eastAsia="仿宋_GB2312" w:cs="仿宋_GB2312"/>
          <w:color w:val="000000"/>
          <w:sz w:val="28"/>
          <w:szCs w:val="28"/>
        </w:rPr>
      </w:pPr>
      <w:r>
        <w:rPr>
          <w:rStyle w:val="16"/>
          <w:rFonts w:hint="eastAsia" w:ascii="仿宋_GB2312" w:hAnsi="仿宋_GB2312" w:eastAsia="仿宋_GB2312" w:cs="仿宋_GB2312"/>
          <w:color w:val="000000"/>
          <w:sz w:val="28"/>
          <w:szCs w:val="28"/>
        </w:rPr>
        <w:t>传真：_________________________________________</w:t>
      </w:r>
    </w:p>
    <w:p w14:paraId="3CFE8211">
      <w:pPr>
        <w:spacing w:line="360" w:lineRule="auto"/>
        <w:ind w:right="600" w:firstLine="560" w:firstLineChars="200"/>
        <w:rPr>
          <w:rStyle w:val="16"/>
          <w:rFonts w:hint="eastAsia" w:ascii="仿宋_GB2312" w:hAnsi="仿宋_GB2312" w:eastAsia="仿宋_GB2312" w:cs="仿宋_GB2312"/>
          <w:color w:val="000000"/>
          <w:sz w:val="28"/>
          <w:szCs w:val="28"/>
        </w:rPr>
      </w:pPr>
      <w:r>
        <w:rPr>
          <w:rStyle w:val="16"/>
          <w:rFonts w:hint="eastAsia" w:ascii="仿宋_GB2312" w:hAnsi="仿宋_GB2312" w:eastAsia="仿宋_GB2312" w:cs="仿宋_GB2312"/>
          <w:color w:val="000000"/>
          <w:sz w:val="28"/>
          <w:szCs w:val="28"/>
        </w:rPr>
        <w:t>日期：_____年</w:t>
      </w:r>
      <w:r>
        <w:rPr>
          <w:rStyle w:val="16"/>
          <w:rFonts w:hint="eastAsia" w:ascii="仿宋_GB2312" w:hAnsi="仿宋_GB2312" w:eastAsia="仿宋_GB2312" w:cs="仿宋_GB2312"/>
          <w:color w:val="000000"/>
          <w:sz w:val="28"/>
          <w:szCs w:val="28"/>
          <w:u w:val="single" w:color="000000"/>
        </w:rPr>
        <w:t xml:space="preserve">      </w:t>
      </w:r>
      <w:r>
        <w:rPr>
          <w:rStyle w:val="16"/>
          <w:rFonts w:hint="eastAsia" w:ascii="仿宋_GB2312" w:hAnsi="仿宋_GB2312" w:eastAsia="仿宋_GB2312" w:cs="仿宋_GB2312"/>
          <w:color w:val="000000"/>
          <w:sz w:val="28"/>
          <w:szCs w:val="28"/>
        </w:rPr>
        <w:t>月</w:t>
      </w:r>
      <w:r>
        <w:rPr>
          <w:rStyle w:val="16"/>
          <w:rFonts w:hint="eastAsia" w:ascii="仿宋_GB2312" w:hAnsi="仿宋_GB2312" w:eastAsia="仿宋_GB2312" w:cs="仿宋_GB2312"/>
          <w:color w:val="000000"/>
          <w:sz w:val="28"/>
          <w:szCs w:val="28"/>
          <w:u w:val="single" w:color="000000"/>
        </w:rPr>
        <w:t xml:space="preserve">    </w:t>
      </w:r>
      <w:r>
        <w:rPr>
          <w:rStyle w:val="16"/>
          <w:rFonts w:hint="eastAsia" w:ascii="仿宋_GB2312" w:hAnsi="仿宋_GB2312" w:eastAsia="仿宋_GB2312" w:cs="仿宋_GB2312"/>
          <w:color w:val="000000"/>
          <w:sz w:val="28"/>
          <w:szCs w:val="28"/>
        </w:rPr>
        <w:t>日</w:t>
      </w:r>
    </w:p>
    <w:p w14:paraId="0AD0A9E9">
      <w:pPr>
        <w:spacing w:line="360" w:lineRule="auto"/>
        <w:jc w:val="center"/>
        <w:rPr>
          <w:rStyle w:val="16"/>
          <w:rFonts w:hint="eastAsia" w:ascii="仿宋" w:hAnsi="仿宋" w:eastAsia="仿宋" w:cs="Times New Roman"/>
          <w:color w:val="000000"/>
          <w:sz w:val="28"/>
          <w:szCs w:val="28"/>
        </w:rPr>
      </w:pPr>
    </w:p>
    <w:p w14:paraId="0212FA0F">
      <w:pPr>
        <w:spacing w:line="360" w:lineRule="auto"/>
        <w:jc w:val="center"/>
        <w:outlineLvl w:val="1"/>
        <w:rPr>
          <w:rStyle w:val="16"/>
          <w:rFonts w:hint="eastAsia" w:ascii="黑体" w:hAnsi="黑体" w:eastAsia="黑体" w:cs="黑体"/>
          <w:b w:val="0"/>
          <w:bCs/>
          <w:sz w:val="28"/>
          <w:szCs w:val="28"/>
        </w:rPr>
      </w:pPr>
      <w:r>
        <w:rPr>
          <w:rStyle w:val="16"/>
          <w:rFonts w:hint="eastAsia" w:ascii="黑体" w:hAnsi="黑体" w:eastAsia="黑体" w:cs="黑体"/>
          <w:b w:val="0"/>
          <w:bCs/>
          <w:sz w:val="28"/>
          <w:szCs w:val="28"/>
        </w:rPr>
        <w:t>二、授权委托书</w:t>
      </w:r>
    </w:p>
    <w:p w14:paraId="2D0FBD95">
      <w:pPr>
        <w:spacing w:line="360" w:lineRule="auto"/>
        <w:rPr>
          <w:rStyle w:val="16"/>
          <w:rFonts w:hint="eastAsia" w:ascii="仿宋_GB2312" w:hAnsi="仿宋_GB2312" w:eastAsia="仿宋_GB2312" w:cs="仿宋_GB2312"/>
          <w:color w:val="000000"/>
          <w:sz w:val="28"/>
          <w:szCs w:val="28"/>
        </w:rPr>
      </w:pPr>
      <w:r>
        <w:rPr>
          <w:rStyle w:val="16"/>
          <w:rFonts w:hint="eastAsia" w:ascii="仿宋_GB2312" w:hAnsi="仿宋_GB2312" w:eastAsia="仿宋_GB2312" w:cs="仿宋_GB2312"/>
          <w:color w:val="000000"/>
          <w:sz w:val="28"/>
          <w:szCs w:val="28"/>
        </w:rPr>
        <w:t>致：</w:t>
      </w:r>
      <w:r>
        <w:rPr>
          <w:rStyle w:val="16"/>
          <w:rFonts w:hint="eastAsia" w:ascii="仿宋_GB2312" w:hAnsi="仿宋_GB2312" w:eastAsia="仿宋_GB2312" w:cs="仿宋_GB2312"/>
          <w:color w:val="000000"/>
          <w:sz w:val="28"/>
          <w:szCs w:val="28"/>
          <w:u w:val="single" w:color="000000"/>
        </w:rPr>
        <w:t>四川省生态环境监测总站</w:t>
      </w:r>
    </w:p>
    <w:p w14:paraId="4FE8D672">
      <w:pPr>
        <w:spacing w:line="360" w:lineRule="auto"/>
        <w:ind w:firstLine="560" w:firstLineChars="200"/>
        <w:rPr>
          <w:rStyle w:val="16"/>
          <w:rFonts w:hint="eastAsia" w:ascii="仿宋_GB2312" w:hAnsi="仿宋_GB2312" w:eastAsia="仿宋_GB2312" w:cs="仿宋_GB2312"/>
          <w:color w:val="000000"/>
          <w:sz w:val="28"/>
          <w:szCs w:val="28"/>
        </w:rPr>
      </w:pPr>
      <w:r>
        <w:rPr>
          <w:rStyle w:val="16"/>
          <w:rFonts w:hint="eastAsia" w:ascii="仿宋_GB2312" w:hAnsi="仿宋_GB2312" w:eastAsia="仿宋_GB2312" w:cs="仿宋_GB2312"/>
          <w:color w:val="000000"/>
          <w:sz w:val="28"/>
          <w:szCs w:val="28"/>
        </w:rPr>
        <w:t>本授权声明：</w:t>
      </w:r>
      <w:r>
        <w:rPr>
          <w:rStyle w:val="16"/>
          <w:rFonts w:hint="eastAsia" w:ascii="仿宋_GB2312" w:hAnsi="仿宋_GB2312" w:eastAsia="仿宋_GB2312" w:cs="仿宋_GB2312"/>
          <w:color w:val="000000"/>
          <w:sz w:val="28"/>
          <w:szCs w:val="28"/>
          <w:u w:val="single" w:color="000000"/>
        </w:rPr>
        <w:t xml:space="preserve">             </w:t>
      </w:r>
      <w:r>
        <w:rPr>
          <w:rStyle w:val="16"/>
          <w:rFonts w:hint="eastAsia" w:ascii="仿宋_GB2312" w:hAnsi="仿宋_GB2312" w:eastAsia="仿宋_GB2312" w:cs="仿宋_GB2312"/>
          <w:color w:val="000000"/>
          <w:sz w:val="28"/>
          <w:szCs w:val="28"/>
        </w:rPr>
        <w:t>（申请人全称）授权</w:t>
      </w:r>
      <w:r>
        <w:rPr>
          <w:rStyle w:val="16"/>
          <w:rFonts w:hint="eastAsia" w:ascii="仿宋_GB2312" w:hAnsi="仿宋_GB2312" w:eastAsia="仿宋_GB2312" w:cs="仿宋_GB2312"/>
          <w:color w:val="000000"/>
          <w:sz w:val="28"/>
          <w:szCs w:val="28"/>
          <w:u w:val="single" w:color="000000"/>
        </w:rPr>
        <w:t xml:space="preserve">                </w:t>
      </w:r>
      <w:r>
        <w:rPr>
          <w:rStyle w:val="16"/>
          <w:rFonts w:hint="eastAsia" w:ascii="仿宋_GB2312" w:hAnsi="仿宋_GB2312" w:eastAsia="仿宋_GB2312" w:cs="仿宋_GB2312"/>
          <w:color w:val="000000"/>
          <w:sz w:val="28"/>
          <w:szCs w:val="28"/>
        </w:rPr>
        <w:t xml:space="preserve">（授权代表、职位）为我方 </w:t>
      </w:r>
      <w:r>
        <w:rPr>
          <w:rStyle w:val="16"/>
          <w:rFonts w:hint="eastAsia" w:ascii="仿宋_GB2312" w:hAnsi="仿宋_GB2312" w:eastAsia="仿宋_GB2312" w:cs="仿宋_GB2312"/>
          <w:color w:val="000000"/>
          <w:sz w:val="28"/>
          <w:szCs w:val="28"/>
          <w:u w:val="single"/>
        </w:rPr>
        <w:t xml:space="preserve">基于同位素的四川省主要地形“污染源-污染驱动-跨介质传输过程-污染通量与均衡”测试与数据解析服务采购 </w:t>
      </w:r>
      <w:r>
        <w:rPr>
          <w:rStyle w:val="16"/>
          <w:rFonts w:hint="eastAsia" w:ascii="仿宋_GB2312" w:hAnsi="仿宋_GB2312" w:eastAsia="仿宋_GB2312" w:cs="仿宋_GB2312"/>
          <w:color w:val="000000"/>
          <w:sz w:val="28"/>
          <w:szCs w:val="28"/>
        </w:rPr>
        <w:t>采购活动的合法代表，以我方名义全权处理该项目有关申请文件、签订合同等采购相关事宜，其法律后果由我方承担。</w:t>
      </w:r>
    </w:p>
    <w:p w14:paraId="3277B1AD">
      <w:pPr>
        <w:spacing w:line="360" w:lineRule="auto"/>
        <w:ind w:firstLine="420" w:firstLineChars="150"/>
        <w:rPr>
          <w:rStyle w:val="16"/>
          <w:rFonts w:hint="eastAsia" w:ascii="仿宋_GB2312" w:hAnsi="仿宋_GB2312" w:eastAsia="仿宋_GB2312" w:cs="仿宋_GB2312"/>
          <w:color w:val="000000"/>
          <w:sz w:val="28"/>
          <w:szCs w:val="28"/>
        </w:rPr>
      </w:pPr>
      <w:r>
        <w:rPr>
          <w:rStyle w:val="16"/>
          <w:rFonts w:hint="eastAsia" w:ascii="仿宋_GB2312" w:hAnsi="仿宋_GB2312" w:eastAsia="仿宋_GB2312" w:cs="仿宋_GB2312"/>
          <w:color w:val="000000"/>
          <w:sz w:val="28"/>
          <w:szCs w:val="28"/>
        </w:rPr>
        <w:t>特此声明。</w:t>
      </w:r>
    </w:p>
    <w:p w14:paraId="34E800A8">
      <w:pPr>
        <w:spacing w:line="360" w:lineRule="auto"/>
        <w:ind w:firstLine="420" w:firstLineChars="150"/>
        <w:rPr>
          <w:rStyle w:val="16"/>
          <w:rFonts w:hint="eastAsia" w:ascii="仿宋_GB2312" w:hAnsi="仿宋_GB2312" w:eastAsia="仿宋_GB2312" w:cs="仿宋_GB2312"/>
          <w:color w:val="000000"/>
          <w:sz w:val="28"/>
          <w:szCs w:val="28"/>
        </w:rPr>
      </w:pPr>
    </w:p>
    <w:p w14:paraId="436DF975">
      <w:pPr>
        <w:spacing w:line="360" w:lineRule="auto"/>
        <w:ind w:firstLine="420" w:firstLineChars="150"/>
        <w:rPr>
          <w:rStyle w:val="16"/>
          <w:rFonts w:hint="eastAsia" w:ascii="仿宋_GB2312" w:hAnsi="仿宋_GB2312" w:eastAsia="仿宋_GB2312" w:cs="仿宋_GB2312"/>
          <w:color w:val="000000"/>
          <w:sz w:val="28"/>
          <w:szCs w:val="28"/>
        </w:rPr>
      </w:pPr>
    </w:p>
    <w:p w14:paraId="6D07E1D5">
      <w:pPr>
        <w:spacing w:line="360" w:lineRule="auto"/>
        <w:ind w:firstLine="420" w:firstLineChars="150"/>
        <w:rPr>
          <w:rStyle w:val="16"/>
          <w:rFonts w:hint="eastAsia" w:ascii="仿宋_GB2312" w:hAnsi="仿宋_GB2312" w:eastAsia="仿宋_GB2312" w:cs="仿宋_GB2312"/>
          <w:color w:val="000000"/>
          <w:sz w:val="28"/>
          <w:szCs w:val="28"/>
        </w:rPr>
      </w:pPr>
      <w:r>
        <w:rPr>
          <w:rStyle w:val="16"/>
          <w:rFonts w:hint="eastAsia" w:ascii="仿宋_GB2312" w:hAnsi="仿宋_GB2312" w:eastAsia="仿宋_GB2312" w:cs="仿宋_GB2312"/>
          <w:color w:val="000000"/>
          <w:sz w:val="28"/>
          <w:szCs w:val="28"/>
        </w:rPr>
        <w:t>申请人：</w:t>
      </w:r>
      <w:r>
        <w:rPr>
          <w:rStyle w:val="16"/>
          <w:rFonts w:hint="eastAsia" w:ascii="仿宋_GB2312" w:hAnsi="仿宋_GB2312" w:eastAsia="仿宋_GB2312" w:cs="仿宋_GB2312"/>
          <w:color w:val="000000"/>
          <w:sz w:val="28"/>
          <w:szCs w:val="28"/>
          <w:u w:val="single" w:color="000000"/>
        </w:rPr>
        <w:t xml:space="preserve">                    </w:t>
      </w:r>
      <w:r>
        <w:rPr>
          <w:rStyle w:val="16"/>
          <w:rFonts w:hint="eastAsia" w:ascii="仿宋_GB2312" w:hAnsi="仿宋_GB2312" w:eastAsia="仿宋_GB2312" w:cs="仿宋_GB2312"/>
          <w:color w:val="000000"/>
          <w:sz w:val="28"/>
          <w:szCs w:val="28"/>
        </w:rPr>
        <w:t>（盖单位行政公章）</w:t>
      </w:r>
    </w:p>
    <w:p w14:paraId="626F8A89">
      <w:pPr>
        <w:spacing w:line="360" w:lineRule="auto"/>
        <w:ind w:firstLine="420" w:firstLineChars="150"/>
        <w:rPr>
          <w:rStyle w:val="16"/>
          <w:rFonts w:hint="eastAsia" w:ascii="仿宋_GB2312" w:hAnsi="仿宋_GB2312" w:eastAsia="仿宋_GB2312" w:cs="仿宋_GB2312"/>
          <w:color w:val="000000"/>
          <w:sz w:val="28"/>
          <w:szCs w:val="28"/>
          <w:u w:val="single" w:color="000000"/>
        </w:rPr>
      </w:pPr>
      <w:r>
        <w:rPr>
          <w:rStyle w:val="16"/>
          <w:rFonts w:hint="eastAsia" w:ascii="仿宋_GB2312" w:hAnsi="仿宋_GB2312" w:eastAsia="仿宋_GB2312" w:cs="仿宋_GB2312"/>
          <w:color w:val="000000"/>
          <w:sz w:val="28"/>
          <w:szCs w:val="28"/>
        </w:rPr>
        <w:t>授权代表：</w:t>
      </w:r>
      <w:r>
        <w:rPr>
          <w:rStyle w:val="16"/>
          <w:rFonts w:hint="eastAsia" w:ascii="仿宋_GB2312" w:hAnsi="仿宋_GB2312" w:eastAsia="仿宋_GB2312" w:cs="仿宋_GB2312"/>
          <w:color w:val="000000"/>
          <w:sz w:val="28"/>
          <w:szCs w:val="28"/>
          <w:u w:val="single" w:color="000000"/>
        </w:rPr>
        <w:t xml:space="preserve">           </w:t>
      </w:r>
      <w:r>
        <w:rPr>
          <w:rStyle w:val="16"/>
          <w:rFonts w:hint="eastAsia" w:ascii="仿宋_GB2312" w:hAnsi="仿宋_GB2312" w:eastAsia="仿宋_GB2312" w:cs="仿宋_GB2312"/>
          <w:color w:val="000000"/>
          <w:sz w:val="28"/>
          <w:szCs w:val="28"/>
        </w:rPr>
        <w:t>（签字）</w:t>
      </w:r>
    </w:p>
    <w:p w14:paraId="6C2281CF">
      <w:pPr>
        <w:spacing w:line="360" w:lineRule="auto"/>
        <w:ind w:firstLine="420" w:firstLineChars="150"/>
        <w:rPr>
          <w:rStyle w:val="16"/>
          <w:rFonts w:hint="eastAsia" w:ascii="仿宋_GB2312" w:hAnsi="仿宋_GB2312" w:eastAsia="仿宋_GB2312" w:cs="仿宋_GB2312"/>
          <w:color w:val="000000"/>
          <w:sz w:val="28"/>
          <w:szCs w:val="28"/>
          <w:u w:val="single" w:color="000000"/>
        </w:rPr>
      </w:pPr>
      <w:r>
        <w:rPr>
          <w:rStyle w:val="16"/>
          <w:rFonts w:hint="eastAsia" w:ascii="仿宋_GB2312" w:hAnsi="仿宋_GB2312" w:eastAsia="仿宋_GB2312" w:cs="仿宋_GB2312"/>
          <w:color w:val="000000"/>
          <w:sz w:val="28"/>
          <w:szCs w:val="28"/>
        </w:rPr>
        <w:t>日期：</w:t>
      </w:r>
      <w:r>
        <w:rPr>
          <w:rStyle w:val="16"/>
          <w:rFonts w:hint="eastAsia" w:ascii="仿宋_GB2312" w:hAnsi="仿宋_GB2312" w:eastAsia="仿宋_GB2312" w:cs="仿宋_GB2312"/>
          <w:color w:val="000000"/>
          <w:sz w:val="28"/>
          <w:szCs w:val="28"/>
          <w:u w:val="single" w:color="000000"/>
        </w:rPr>
        <w:t xml:space="preserve">     </w:t>
      </w:r>
      <w:r>
        <w:rPr>
          <w:rStyle w:val="16"/>
          <w:rFonts w:hint="eastAsia" w:ascii="仿宋_GB2312" w:hAnsi="仿宋_GB2312" w:eastAsia="仿宋_GB2312" w:cs="仿宋_GB2312"/>
          <w:color w:val="000000"/>
          <w:sz w:val="28"/>
          <w:szCs w:val="28"/>
        </w:rPr>
        <w:t>年</w:t>
      </w:r>
      <w:r>
        <w:rPr>
          <w:rStyle w:val="16"/>
          <w:rFonts w:hint="eastAsia" w:ascii="仿宋_GB2312" w:hAnsi="仿宋_GB2312" w:eastAsia="仿宋_GB2312" w:cs="仿宋_GB2312"/>
          <w:color w:val="000000"/>
          <w:sz w:val="28"/>
          <w:szCs w:val="28"/>
          <w:u w:val="single" w:color="000000"/>
        </w:rPr>
        <w:t xml:space="preserve">      </w:t>
      </w:r>
      <w:r>
        <w:rPr>
          <w:rStyle w:val="16"/>
          <w:rFonts w:hint="eastAsia" w:ascii="仿宋_GB2312" w:hAnsi="仿宋_GB2312" w:eastAsia="仿宋_GB2312" w:cs="仿宋_GB2312"/>
          <w:color w:val="000000"/>
          <w:sz w:val="28"/>
          <w:szCs w:val="28"/>
        </w:rPr>
        <w:t>月</w:t>
      </w:r>
      <w:r>
        <w:rPr>
          <w:rStyle w:val="16"/>
          <w:rFonts w:hint="eastAsia" w:ascii="仿宋_GB2312" w:hAnsi="仿宋_GB2312" w:eastAsia="仿宋_GB2312" w:cs="仿宋_GB2312"/>
          <w:color w:val="000000"/>
          <w:sz w:val="28"/>
          <w:szCs w:val="28"/>
          <w:u w:val="single" w:color="000000"/>
        </w:rPr>
        <w:t xml:space="preserve">    </w:t>
      </w:r>
      <w:r>
        <w:rPr>
          <w:rStyle w:val="16"/>
          <w:rFonts w:hint="eastAsia" w:ascii="仿宋_GB2312" w:hAnsi="仿宋_GB2312" w:eastAsia="仿宋_GB2312" w:cs="仿宋_GB2312"/>
          <w:color w:val="000000"/>
          <w:sz w:val="28"/>
          <w:szCs w:val="28"/>
        </w:rPr>
        <w:t>日</w:t>
      </w:r>
    </w:p>
    <w:p w14:paraId="02DACC74">
      <w:pPr>
        <w:spacing w:line="360" w:lineRule="auto"/>
        <w:jc w:val="center"/>
        <w:rPr>
          <w:rStyle w:val="16"/>
          <w:rFonts w:hint="eastAsia" w:ascii="仿宋" w:hAnsi="仿宋" w:eastAsia="仿宋" w:cs="Times New Roman"/>
          <w:color w:val="000000"/>
          <w:sz w:val="28"/>
          <w:szCs w:val="28"/>
        </w:rPr>
      </w:pPr>
      <w:r>
        <w:rPr>
          <w:rFonts w:hint="eastAsia" w:ascii="仿宋" w:hAnsi="仿宋" w:eastAsia="仿宋"/>
        </w:rPr>
        <w:pict>
          <v:shape id="_x0000_s2050" o:spid="_x0000_s2050" o:spt="202" type="#_x0000_t202" style="position:absolute;left:0pt;margin-left:6.75pt;margin-top:23.1pt;height:173.15pt;width:363.5pt;mso-wrap-distance-left:9pt;mso-wrap-distance-right:9pt;z-index:251660288;mso-width-relative:page;mso-height-relative:page;" coordsize="21600,21600" wrapcoords="-45 -94 -45 21506 21645 21506 21645 -94 -45 -94" o:gfxdata="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H7VOzXAAAACQEA&#10;AA8AAAAAAAAAAQAgAAAAIgAAAGRycy9kb3ducmV2LnhtbFBLAQIUABQAAAAIAIdO4kBFwcuKVAIA&#10;AK4EAAAOAAAAAAAAAAEAIAAAACYBAABkcnMvZTJvRG9jLnhtbFBLBQYAAAAABgAGAFkBAADsBQAA&#10;AAA=&#10;">
            <v:path/>
            <v:fill focussize="0,0"/>
            <v:stroke dashstyle="dash"/>
            <v:imagedata o:title=""/>
            <o:lock v:ext="edit"/>
            <v:textbox>
              <w:txbxContent>
                <w:p w14:paraId="71E95DAA">
                  <w:pPr>
                    <w:rPr>
                      <w:rStyle w:val="16"/>
                      <w:rFonts w:hint="eastAsia" w:ascii="仿宋_GB2312" w:hAnsi="仿宋_GB2312" w:eastAsia="仿宋_GB2312" w:cs="仿宋_GB2312"/>
                      <w:sz w:val="28"/>
                      <w:szCs w:val="28"/>
                    </w:rPr>
                  </w:pPr>
                  <w:r>
                    <w:rPr>
                      <w:rStyle w:val="16"/>
                      <w:rFonts w:hint="eastAsia" w:ascii="仿宋_GB2312" w:hAnsi="仿宋_GB2312" w:eastAsia="仿宋_GB2312" w:cs="仿宋_GB2312"/>
                      <w:sz w:val="28"/>
                      <w:szCs w:val="28"/>
                    </w:rPr>
                    <w:t>附：授权代表身份证复印件</w:t>
                  </w:r>
                </w:p>
                <w:p w14:paraId="20BB333A">
                  <w:pPr>
                    <w:rPr>
                      <w:rStyle w:val="16"/>
                      <w:rFonts w:cs="Times New Roman"/>
                    </w:rPr>
                  </w:pPr>
                </w:p>
              </w:txbxContent>
            </v:textbox>
            <w10:wrap type="through"/>
          </v:shape>
        </w:pict>
      </w:r>
      <w:r>
        <w:rPr>
          <w:rStyle w:val="16"/>
          <w:rFonts w:hint="eastAsia" w:ascii="仿宋" w:hAnsi="仿宋" w:eastAsia="仿宋" w:cs="Times New Roman"/>
          <w:color w:val="000000"/>
          <w:sz w:val="28"/>
          <w:szCs w:val="28"/>
        </w:rPr>
        <w:br w:type="textWrapping"/>
      </w:r>
    </w:p>
    <w:p w14:paraId="1EE22122">
      <w:pPr>
        <w:spacing w:line="360" w:lineRule="auto"/>
        <w:jc w:val="left"/>
        <w:rPr>
          <w:rStyle w:val="16"/>
          <w:rFonts w:hint="eastAsia" w:ascii="仿宋" w:hAnsi="仿宋" w:eastAsia="仿宋" w:cs="Times New Roman"/>
          <w:b/>
          <w:sz w:val="28"/>
          <w:szCs w:val="28"/>
        </w:rPr>
        <w:sectPr>
          <w:pgSz w:w="11906" w:h="16838"/>
          <w:pgMar w:top="1701" w:right="1134" w:bottom="1134" w:left="1701" w:header="851" w:footer="851" w:gutter="0"/>
          <w:pgNumType w:fmt="decimal"/>
          <w:cols w:space="720" w:num="1"/>
          <w:docGrid w:type="linesAndChars" w:linePitch="312" w:charSpace="0"/>
        </w:sectPr>
      </w:pPr>
    </w:p>
    <w:p w14:paraId="6A6E3EFC">
      <w:pPr>
        <w:numPr>
          <w:ilvl w:val="0"/>
          <w:numId w:val="0"/>
        </w:numPr>
        <w:spacing w:line="360" w:lineRule="auto"/>
        <w:jc w:val="center"/>
        <w:outlineLvl w:val="1"/>
        <w:rPr>
          <w:rStyle w:val="16"/>
          <w:rFonts w:hint="eastAsia" w:ascii="黑体" w:hAnsi="黑体" w:eastAsia="黑体" w:cs="黑体"/>
          <w:b w:val="0"/>
          <w:bCs/>
          <w:sz w:val="28"/>
          <w:szCs w:val="28"/>
        </w:rPr>
      </w:pPr>
      <w:r>
        <w:rPr>
          <w:rFonts w:hint="eastAsia" w:ascii="黑体" w:hAnsi="黑体" w:eastAsia="黑体" w:cs="黑体"/>
          <w:b w:val="0"/>
          <w:bCs/>
          <w:kern w:val="2"/>
          <w:sz w:val="28"/>
          <w:szCs w:val="28"/>
          <w:lang w:val="en-US" w:eastAsia="zh-CN" w:bidi="ar-SA"/>
        </w:rPr>
        <w:t>三、</w:t>
      </w:r>
      <w:r>
        <w:rPr>
          <w:rStyle w:val="16"/>
          <w:rFonts w:hint="eastAsia" w:ascii="黑体" w:hAnsi="黑体" w:eastAsia="黑体" w:cs="黑体"/>
          <w:b w:val="0"/>
          <w:bCs/>
          <w:sz w:val="28"/>
          <w:szCs w:val="28"/>
        </w:rPr>
        <w:t>声   明</w:t>
      </w:r>
    </w:p>
    <w:p w14:paraId="4922846F">
      <w:pPr>
        <w:pStyle w:val="2"/>
        <w:numPr>
          <w:numId w:val="0"/>
        </w:numPr>
        <w:rPr>
          <w:rFonts w:hint="eastAsia"/>
        </w:rPr>
      </w:pPr>
    </w:p>
    <w:p w14:paraId="22732F60">
      <w:pPr>
        <w:spacing w:line="360" w:lineRule="auto"/>
        <w:rPr>
          <w:rStyle w:val="16"/>
          <w:rFonts w:hint="eastAsia" w:ascii="仿宋_GB2312" w:hAnsi="仿宋_GB2312" w:eastAsia="仿宋_GB2312" w:cs="仿宋_GB2312"/>
          <w:color w:val="000000"/>
          <w:sz w:val="32"/>
          <w:szCs w:val="32"/>
        </w:rPr>
      </w:pPr>
      <w:r>
        <w:rPr>
          <w:rStyle w:val="16"/>
          <w:rFonts w:hint="eastAsia" w:ascii="仿宋_GB2312" w:hAnsi="仿宋_GB2312" w:eastAsia="仿宋_GB2312" w:cs="仿宋_GB2312"/>
          <w:color w:val="000000"/>
          <w:sz w:val="32"/>
          <w:szCs w:val="32"/>
        </w:rPr>
        <w:t>致：四川省生态环境监测总站</w:t>
      </w:r>
    </w:p>
    <w:p w14:paraId="37ED49F2">
      <w:pPr>
        <w:spacing w:line="360" w:lineRule="auto"/>
        <w:ind w:firstLine="640" w:firstLineChars="200"/>
        <w:rPr>
          <w:rStyle w:val="16"/>
          <w:rFonts w:hint="eastAsia" w:ascii="仿宋_GB2312" w:hAnsi="仿宋_GB2312" w:eastAsia="仿宋_GB2312" w:cs="仿宋_GB2312"/>
          <w:color w:val="000000"/>
          <w:sz w:val="32"/>
          <w:szCs w:val="32"/>
        </w:rPr>
      </w:pPr>
      <w:r>
        <w:rPr>
          <w:rStyle w:val="16"/>
          <w:rFonts w:hint="eastAsia" w:ascii="仿宋_GB2312" w:hAnsi="仿宋_GB2312" w:eastAsia="仿宋_GB2312" w:cs="仿宋_GB2312"/>
          <w:color w:val="000000"/>
          <w:sz w:val="32"/>
          <w:szCs w:val="32"/>
        </w:rPr>
        <w:t>本采购申请人</w:t>
      </w:r>
      <w:r>
        <w:rPr>
          <w:rStyle w:val="16"/>
          <w:rFonts w:hint="eastAsia" w:ascii="仿宋_GB2312" w:hAnsi="仿宋_GB2312" w:eastAsia="仿宋_GB2312" w:cs="仿宋_GB2312"/>
          <w:color w:val="000000"/>
          <w:sz w:val="32"/>
          <w:szCs w:val="32"/>
          <w:u w:val="single" w:color="000000"/>
        </w:rPr>
        <w:t xml:space="preserve">                               </w:t>
      </w:r>
      <w:r>
        <w:rPr>
          <w:rStyle w:val="16"/>
          <w:rFonts w:hint="eastAsia" w:ascii="仿宋_GB2312" w:hAnsi="仿宋_GB2312" w:eastAsia="仿宋_GB2312" w:cs="仿宋_GB2312"/>
          <w:color w:val="000000"/>
          <w:sz w:val="32"/>
          <w:szCs w:val="32"/>
        </w:rPr>
        <w:t xml:space="preserve">（申请人全称）现参加四川省生态环境监测总站 </w:t>
      </w:r>
      <w:r>
        <w:rPr>
          <w:rStyle w:val="16"/>
          <w:rFonts w:hint="eastAsia" w:ascii="仿宋_GB2312" w:hAnsi="仿宋_GB2312" w:eastAsia="仿宋_GB2312" w:cs="仿宋_GB2312"/>
          <w:color w:val="000000"/>
          <w:sz w:val="32"/>
          <w:szCs w:val="32"/>
          <w:u w:val="single"/>
        </w:rPr>
        <w:t>基于同位素的四川省主要地形“污染源-污染驱动-跨介质传输过程-污染通量与均衡”测试与数据解析服务采购</w:t>
      </w:r>
      <w:r>
        <w:rPr>
          <w:rStyle w:val="16"/>
          <w:rFonts w:hint="eastAsia" w:ascii="仿宋_GB2312" w:hAnsi="仿宋_GB2312" w:eastAsia="仿宋_GB2312" w:cs="仿宋_GB2312"/>
          <w:color w:val="000000"/>
          <w:sz w:val="32"/>
          <w:szCs w:val="32"/>
        </w:rPr>
        <w:t>采购活动，本采购申请人特此声明：不管过去、现在、还是将来，我方如果中选，我方将为四川省生态环境监测总站提供合乎国家相关法规、标准、规范规定及经双方协议订立合同的服务。</w:t>
      </w:r>
    </w:p>
    <w:p w14:paraId="253A9B1D">
      <w:pPr>
        <w:spacing w:line="360" w:lineRule="auto"/>
        <w:ind w:firstLine="640" w:firstLineChars="200"/>
        <w:rPr>
          <w:rStyle w:val="16"/>
          <w:rFonts w:hint="eastAsia" w:ascii="仿宋_GB2312" w:hAnsi="仿宋_GB2312" w:eastAsia="仿宋_GB2312" w:cs="仿宋_GB2312"/>
          <w:color w:val="000000"/>
          <w:sz w:val="32"/>
          <w:szCs w:val="32"/>
        </w:rPr>
      </w:pPr>
      <w:r>
        <w:rPr>
          <w:rStyle w:val="16"/>
          <w:rFonts w:hint="eastAsia" w:ascii="仿宋_GB2312" w:hAnsi="仿宋_GB2312" w:eastAsia="仿宋_GB2312" w:cs="仿宋_GB2312"/>
          <w:color w:val="000000"/>
          <w:sz w:val="32"/>
          <w:szCs w:val="32"/>
        </w:rPr>
        <w:t>如违反以上声明，我方愿承担一切法律责任。</w:t>
      </w:r>
    </w:p>
    <w:p w14:paraId="545D64FA">
      <w:pPr>
        <w:spacing w:line="360" w:lineRule="auto"/>
        <w:rPr>
          <w:rStyle w:val="16"/>
          <w:rFonts w:hint="eastAsia" w:ascii="仿宋_GB2312" w:hAnsi="仿宋_GB2312" w:eastAsia="仿宋_GB2312" w:cs="仿宋_GB2312"/>
          <w:color w:val="000000"/>
          <w:sz w:val="32"/>
          <w:szCs w:val="32"/>
        </w:rPr>
      </w:pPr>
    </w:p>
    <w:p w14:paraId="1DF7A290">
      <w:pPr>
        <w:spacing w:line="360" w:lineRule="auto"/>
        <w:ind w:firstLine="640" w:firstLineChars="200"/>
        <w:rPr>
          <w:rStyle w:val="16"/>
          <w:rFonts w:hint="eastAsia" w:ascii="仿宋_GB2312" w:hAnsi="仿宋_GB2312" w:eastAsia="仿宋_GB2312" w:cs="仿宋_GB2312"/>
          <w:color w:val="000000"/>
          <w:sz w:val="32"/>
          <w:szCs w:val="32"/>
        </w:rPr>
      </w:pPr>
      <w:r>
        <w:rPr>
          <w:rStyle w:val="16"/>
          <w:rFonts w:hint="eastAsia" w:ascii="仿宋_GB2312" w:hAnsi="仿宋_GB2312" w:eastAsia="仿宋_GB2312" w:cs="仿宋_GB2312"/>
          <w:color w:val="000000"/>
          <w:sz w:val="32"/>
          <w:szCs w:val="32"/>
        </w:rPr>
        <w:t>采购申请人：________________________(签字)</w:t>
      </w:r>
    </w:p>
    <w:p w14:paraId="40243CB0">
      <w:pPr>
        <w:spacing w:line="360" w:lineRule="auto"/>
        <w:ind w:firstLine="640" w:firstLineChars="200"/>
        <w:rPr>
          <w:rStyle w:val="16"/>
          <w:rFonts w:hint="eastAsia" w:ascii="仿宋_GB2312" w:hAnsi="仿宋_GB2312" w:eastAsia="仿宋_GB2312" w:cs="仿宋_GB2312"/>
          <w:color w:val="000000"/>
          <w:sz w:val="32"/>
          <w:szCs w:val="32"/>
        </w:rPr>
      </w:pPr>
    </w:p>
    <w:p w14:paraId="493905A0">
      <w:pPr>
        <w:spacing w:line="360" w:lineRule="auto"/>
        <w:ind w:firstLine="640" w:firstLineChars="200"/>
        <w:rPr>
          <w:rStyle w:val="16"/>
          <w:rFonts w:hint="eastAsia" w:ascii="仿宋_GB2312" w:hAnsi="仿宋_GB2312" w:eastAsia="仿宋_GB2312" w:cs="仿宋_GB2312"/>
          <w:color w:val="000000"/>
          <w:sz w:val="32"/>
          <w:szCs w:val="32"/>
        </w:rPr>
      </w:pPr>
      <w:r>
        <w:rPr>
          <w:rStyle w:val="16"/>
          <w:rFonts w:hint="eastAsia" w:ascii="仿宋_GB2312" w:hAnsi="仿宋_GB2312" w:eastAsia="仿宋_GB2312" w:cs="仿宋_GB2312"/>
          <w:color w:val="000000"/>
          <w:sz w:val="32"/>
          <w:szCs w:val="32"/>
        </w:rPr>
        <w:t>采购申请人单位：</w:t>
      </w:r>
      <w:r>
        <w:rPr>
          <w:rStyle w:val="16"/>
          <w:rFonts w:hint="eastAsia" w:ascii="仿宋_GB2312" w:hAnsi="仿宋_GB2312" w:eastAsia="仿宋_GB2312" w:cs="仿宋_GB2312"/>
          <w:color w:val="000000"/>
          <w:sz w:val="32"/>
          <w:szCs w:val="32"/>
          <w:u w:val="single" w:color="000000"/>
        </w:rPr>
        <w:t xml:space="preserve">                    </w:t>
      </w:r>
      <w:r>
        <w:rPr>
          <w:rStyle w:val="16"/>
          <w:rFonts w:hint="eastAsia" w:ascii="仿宋_GB2312" w:hAnsi="仿宋_GB2312" w:eastAsia="仿宋_GB2312" w:cs="仿宋_GB2312"/>
          <w:color w:val="000000"/>
          <w:sz w:val="32"/>
          <w:szCs w:val="32"/>
        </w:rPr>
        <w:t>(盖单位行政公章)</w:t>
      </w:r>
    </w:p>
    <w:p w14:paraId="2B99B53A">
      <w:pPr>
        <w:spacing w:line="360" w:lineRule="auto"/>
        <w:rPr>
          <w:rStyle w:val="16"/>
          <w:rFonts w:hint="eastAsia" w:ascii="仿宋_GB2312" w:hAnsi="仿宋_GB2312" w:eastAsia="仿宋_GB2312" w:cs="仿宋_GB2312"/>
          <w:color w:val="000000"/>
          <w:sz w:val="32"/>
          <w:szCs w:val="32"/>
        </w:rPr>
      </w:pPr>
    </w:p>
    <w:p w14:paraId="42CA2D57">
      <w:pPr>
        <w:spacing w:line="360" w:lineRule="auto"/>
        <w:ind w:right="600" w:firstLine="4480" w:firstLineChars="1400"/>
        <w:rPr>
          <w:rStyle w:val="16"/>
          <w:rFonts w:hint="eastAsia" w:ascii="仿宋_GB2312" w:hAnsi="仿宋_GB2312" w:eastAsia="仿宋_GB2312" w:cs="仿宋_GB2312"/>
          <w:color w:val="000000"/>
          <w:sz w:val="32"/>
          <w:szCs w:val="32"/>
        </w:rPr>
      </w:pPr>
      <w:r>
        <w:rPr>
          <w:rStyle w:val="16"/>
          <w:rFonts w:hint="eastAsia" w:ascii="仿宋_GB2312" w:hAnsi="仿宋_GB2312" w:eastAsia="仿宋_GB2312" w:cs="仿宋_GB2312"/>
          <w:color w:val="000000"/>
          <w:sz w:val="32"/>
          <w:szCs w:val="32"/>
          <w:u w:val="single" w:color="000000"/>
        </w:rPr>
        <w:t xml:space="preserve">        </w:t>
      </w:r>
      <w:r>
        <w:rPr>
          <w:rStyle w:val="16"/>
          <w:rFonts w:hint="eastAsia" w:ascii="仿宋_GB2312" w:hAnsi="仿宋_GB2312" w:eastAsia="仿宋_GB2312" w:cs="仿宋_GB2312"/>
          <w:color w:val="000000"/>
          <w:sz w:val="32"/>
          <w:szCs w:val="32"/>
        </w:rPr>
        <w:t>年</w:t>
      </w:r>
      <w:r>
        <w:rPr>
          <w:rStyle w:val="16"/>
          <w:rFonts w:hint="eastAsia" w:ascii="仿宋_GB2312" w:hAnsi="仿宋_GB2312" w:eastAsia="仿宋_GB2312" w:cs="仿宋_GB2312"/>
          <w:color w:val="000000"/>
          <w:sz w:val="32"/>
          <w:szCs w:val="32"/>
          <w:u w:val="single" w:color="000000"/>
        </w:rPr>
        <w:t xml:space="preserve">      </w:t>
      </w:r>
      <w:r>
        <w:rPr>
          <w:rStyle w:val="16"/>
          <w:rFonts w:hint="eastAsia" w:ascii="仿宋_GB2312" w:hAnsi="仿宋_GB2312" w:eastAsia="仿宋_GB2312" w:cs="仿宋_GB2312"/>
          <w:color w:val="000000"/>
          <w:sz w:val="32"/>
          <w:szCs w:val="32"/>
        </w:rPr>
        <w:t>月</w:t>
      </w:r>
      <w:r>
        <w:rPr>
          <w:rStyle w:val="16"/>
          <w:rFonts w:hint="eastAsia" w:ascii="仿宋_GB2312" w:hAnsi="仿宋_GB2312" w:eastAsia="仿宋_GB2312" w:cs="仿宋_GB2312"/>
          <w:color w:val="000000"/>
          <w:sz w:val="32"/>
          <w:szCs w:val="32"/>
          <w:u w:val="single" w:color="000000"/>
        </w:rPr>
        <w:t xml:space="preserve">    </w:t>
      </w:r>
      <w:r>
        <w:rPr>
          <w:rStyle w:val="16"/>
          <w:rFonts w:hint="eastAsia" w:ascii="仿宋_GB2312" w:hAnsi="仿宋_GB2312" w:eastAsia="仿宋_GB2312" w:cs="仿宋_GB2312"/>
          <w:color w:val="000000"/>
          <w:sz w:val="32"/>
          <w:szCs w:val="32"/>
        </w:rPr>
        <w:t>日</w:t>
      </w:r>
    </w:p>
    <w:p w14:paraId="613A3014">
      <w:pPr>
        <w:spacing w:line="360" w:lineRule="auto"/>
        <w:jc w:val="right"/>
        <w:rPr>
          <w:rStyle w:val="16"/>
          <w:rFonts w:hint="eastAsia" w:ascii="仿宋" w:hAnsi="仿宋" w:eastAsia="仿宋" w:cs="Times New Roman"/>
          <w:color w:val="000000"/>
          <w:sz w:val="32"/>
          <w:szCs w:val="32"/>
        </w:rPr>
      </w:pPr>
    </w:p>
    <w:p w14:paraId="1053686E">
      <w:pPr>
        <w:spacing w:line="360" w:lineRule="auto"/>
        <w:rPr>
          <w:rStyle w:val="16"/>
          <w:rFonts w:hint="eastAsia" w:ascii="仿宋" w:hAnsi="仿宋" w:eastAsia="仿宋" w:cs="Times New Roman"/>
          <w:color w:val="000000"/>
          <w:sz w:val="28"/>
          <w:szCs w:val="28"/>
        </w:rPr>
      </w:pPr>
    </w:p>
    <w:p w14:paraId="6AD9EC6C">
      <w:pPr>
        <w:spacing w:line="360" w:lineRule="auto"/>
        <w:rPr>
          <w:rStyle w:val="16"/>
          <w:rFonts w:hint="eastAsia" w:ascii="仿宋" w:hAnsi="仿宋" w:eastAsia="仿宋" w:cs="Times New Roman"/>
          <w:color w:val="000000"/>
          <w:sz w:val="28"/>
          <w:szCs w:val="28"/>
        </w:rPr>
      </w:pPr>
    </w:p>
    <w:p w14:paraId="454FC85F">
      <w:pPr>
        <w:spacing w:line="360" w:lineRule="auto"/>
        <w:jc w:val="center"/>
        <w:rPr>
          <w:rStyle w:val="16"/>
          <w:rFonts w:hint="eastAsia" w:ascii="仿宋" w:hAnsi="仿宋" w:eastAsia="仿宋" w:cs="Times New Roman"/>
          <w:b/>
          <w:color w:val="000000"/>
          <w:sz w:val="28"/>
          <w:szCs w:val="28"/>
        </w:rPr>
      </w:pPr>
    </w:p>
    <w:p w14:paraId="20C6B5F6">
      <w:pPr>
        <w:spacing w:line="360" w:lineRule="auto"/>
        <w:jc w:val="left"/>
        <w:rPr>
          <w:rStyle w:val="16"/>
          <w:rFonts w:hint="eastAsia" w:ascii="仿宋" w:hAnsi="仿宋" w:eastAsia="仿宋" w:cs="Times New Roman"/>
          <w:b/>
          <w:sz w:val="28"/>
          <w:szCs w:val="28"/>
        </w:rPr>
        <w:sectPr>
          <w:pgSz w:w="11906" w:h="16838"/>
          <w:pgMar w:top="1701" w:right="1134" w:bottom="1134" w:left="1701" w:header="851" w:footer="851" w:gutter="0"/>
          <w:pgNumType w:fmt="decimal"/>
          <w:cols w:space="720" w:num="1"/>
          <w:docGrid w:type="linesAndChars" w:linePitch="312" w:charSpace="0"/>
        </w:sectPr>
      </w:pPr>
    </w:p>
    <w:p w14:paraId="023F62DB">
      <w:pPr>
        <w:numPr>
          <w:ilvl w:val="0"/>
          <w:numId w:val="0"/>
        </w:numPr>
        <w:spacing w:line="360" w:lineRule="auto"/>
        <w:jc w:val="center"/>
        <w:outlineLvl w:val="1"/>
        <w:rPr>
          <w:rFonts w:hint="eastAsia" w:ascii="黑体" w:hAnsi="黑体" w:eastAsia="黑体" w:cs="黑体"/>
          <w:b w:val="0"/>
          <w:bCs/>
          <w:kern w:val="2"/>
          <w:sz w:val="28"/>
          <w:szCs w:val="28"/>
          <w:lang w:val="en-US" w:eastAsia="zh-CN" w:bidi="ar-SA"/>
        </w:rPr>
      </w:pPr>
      <w:r>
        <w:rPr>
          <w:rFonts w:hint="eastAsia" w:ascii="黑体" w:hAnsi="黑体" w:eastAsia="黑体" w:cs="黑体"/>
          <w:b w:val="0"/>
          <w:bCs/>
          <w:kern w:val="2"/>
          <w:sz w:val="28"/>
          <w:szCs w:val="28"/>
          <w:lang w:val="en-US" w:eastAsia="zh-CN" w:bidi="ar-SA"/>
        </w:rPr>
        <w:t>四、承 诺 书</w:t>
      </w:r>
    </w:p>
    <w:p w14:paraId="54C01FC8">
      <w:pPr>
        <w:spacing w:line="360" w:lineRule="auto"/>
        <w:rPr>
          <w:rStyle w:val="16"/>
          <w:rFonts w:hint="eastAsia" w:ascii="仿宋" w:hAnsi="仿宋" w:eastAsia="仿宋" w:cs="Times New Roman"/>
          <w:color w:val="000000"/>
          <w:sz w:val="28"/>
          <w:szCs w:val="28"/>
        </w:rPr>
      </w:pPr>
    </w:p>
    <w:p w14:paraId="69902CA6">
      <w:pPr>
        <w:spacing w:line="360" w:lineRule="auto"/>
        <w:rPr>
          <w:rStyle w:val="16"/>
          <w:rFonts w:hint="eastAsia" w:ascii="仿宋_GB2312" w:hAnsi="仿宋_GB2312" w:eastAsia="仿宋_GB2312" w:cs="仿宋_GB2312"/>
          <w:color w:val="000000"/>
          <w:sz w:val="32"/>
          <w:szCs w:val="32"/>
        </w:rPr>
      </w:pPr>
      <w:r>
        <w:rPr>
          <w:rStyle w:val="16"/>
          <w:rFonts w:hint="eastAsia" w:ascii="仿宋_GB2312" w:hAnsi="仿宋_GB2312" w:eastAsia="仿宋_GB2312" w:cs="仿宋_GB2312"/>
          <w:color w:val="000000"/>
          <w:sz w:val="32"/>
          <w:szCs w:val="32"/>
        </w:rPr>
        <w:t>致：</w:t>
      </w:r>
      <w:r>
        <w:rPr>
          <w:rStyle w:val="16"/>
          <w:rFonts w:hint="eastAsia" w:ascii="仿宋_GB2312" w:hAnsi="仿宋_GB2312" w:eastAsia="仿宋_GB2312" w:cs="仿宋_GB2312"/>
          <w:color w:val="000000"/>
          <w:sz w:val="32"/>
          <w:szCs w:val="32"/>
          <w:u w:val="single" w:color="000000"/>
        </w:rPr>
        <w:t>四川省生态环境监测总站</w:t>
      </w:r>
    </w:p>
    <w:p w14:paraId="5B0DC9D9">
      <w:pPr>
        <w:spacing w:line="360" w:lineRule="auto"/>
        <w:ind w:firstLine="640" w:firstLineChars="200"/>
        <w:rPr>
          <w:rStyle w:val="16"/>
          <w:rFonts w:hint="eastAsia" w:ascii="仿宋_GB2312" w:hAnsi="仿宋_GB2312" w:eastAsia="仿宋_GB2312" w:cs="仿宋_GB2312"/>
          <w:color w:val="000000"/>
          <w:sz w:val="32"/>
          <w:szCs w:val="32"/>
        </w:rPr>
      </w:pPr>
      <w:r>
        <w:rPr>
          <w:rStyle w:val="16"/>
          <w:rFonts w:hint="eastAsia" w:ascii="仿宋_GB2312" w:hAnsi="仿宋_GB2312" w:eastAsia="仿宋_GB2312" w:cs="仿宋_GB2312"/>
          <w:color w:val="000000"/>
          <w:sz w:val="32"/>
          <w:szCs w:val="32"/>
        </w:rPr>
        <w:t>我方以诚实、守信的态度参加贵方的采购活动并郑重承诺，在参选过程中，不会发生因我方原因造成的违背下列承诺之一的行为或出现其它严重损害贵方利益的行为。如有发生，我方自愿放弃采购申请，且自我方行为被贵方认定之日起两年内，贵方有权不接受我方在贵方周期性采购或其它项目中的采购申请，两年后如我方不能有效证明信誉的改善，贵方仍有权拒绝我方的采购申请。</w:t>
      </w:r>
    </w:p>
    <w:p w14:paraId="3B05791A">
      <w:pPr>
        <w:spacing w:line="360" w:lineRule="auto"/>
        <w:ind w:firstLine="640" w:firstLineChars="200"/>
        <w:rPr>
          <w:rStyle w:val="16"/>
          <w:rFonts w:hint="eastAsia" w:ascii="仿宋_GB2312" w:hAnsi="仿宋_GB2312" w:eastAsia="仿宋_GB2312" w:cs="仿宋_GB2312"/>
          <w:color w:val="000000"/>
          <w:sz w:val="32"/>
          <w:szCs w:val="32"/>
        </w:rPr>
      </w:pPr>
      <w:r>
        <w:rPr>
          <w:rStyle w:val="16"/>
          <w:rFonts w:hint="eastAsia" w:ascii="仿宋_GB2312" w:hAnsi="仿宋_GB2312" w:eastAsia="仿宋_GB2312" w:cs="仿宋_GB2312"/>
          <w:color w:val="000000"/>
          <w:sz w:val="32"/>
          <w:szCs w:val="32"/>
        </w:rPr>
        <w:t>1、我方承诺不发生弄虚作假骗取中选、中选后非贵方原因放弃中选的行为。如在中选后发现我方申请资料不符合采购要求或资料载明条件发生变化而不符合采购要求，贵方有权取消我方中选人资格，另选中选人。</w:t>
      </w:r>
    </w:p>
    <w:p w14:paraId="5C03AA2B">
      <w:pPr>
        <w:spacing w:line="360" w:lineRule="auto"/>
        <w:ind w:firstLine="640" w:firstLineChars="200"/>
        <w:rPr>
          <w:rStyle w:val="16"/>
          <w:rFonts w:hint="eastAsia" w:ascii="仿宋_GB2312" w:hAnsi="仿宋_GB2312" w:eastAsia="仿宋_GB2312" w:cs="仿宋_GB2312"/>
          <w:color w:val="000000"/>
          <w:sz w:val="32"/>
          <w:szCs w:val="32"/>
        </w:rPr>
      </w:pPr>
      <w:r>
        <w:rPr>
          <w:rStyle w:val="16"/>
          <w:rFonts w:hint="eastAsia" w:ascii="仿宋_GB2312" w:hAnsi="仿宋_GB2312" w:eastAsia="仿宋_GB2312" w:cs="仿宋_GB2312"/>
          <w:color w:val="000000"/>
          <w:sz w:val="32"/>
          <w:szCs w:val="32"/>
        </w:rPr>
        <w:t>2、我方承诺不发生任何串通与项目有关的单位而损害贵方或国家利益的行为。</w:t>
      </w:r>
    </w:p>
    <w:p w14:paraId="13A417A7">
      <w:pPr>
        <w:spacing w:line="360" w:lineRule="auto"/>
        <w:ind w:firstLine="640" w:firstLineChars="200"/>
        <w:rPr>
          <w:rStyle w:val="16"/>
          <w:rFonts w:hint="eastAsia" w:ascii="仿宋_GB2312" w:hAnsi="仿宋_GB2312" w:eastAsia="仿宋_GB2312" w:cs="仿宋_GB2312"/>
          <w:color w:val="000000"/>
          <w:sz w:val="32"/>
          <w:szCs w:val="32"/>
        </w:rPr>
      </w:pPr>
      <w:r>
        <w:rPr>
          <w:rStyle w:val="16"/>
          <w:rFonts w:hint="eastAsia" w:ascii="仿宋_GB2312" w:hAnsi="仿宋_GB2312" w:eastAsia="仿宋_GB2312" w:cs="仿宋_GB2312"/>
          <w:color w:val="000000"/>
          <w:sz w:val="32"/>
          <w:szCs w:val="32"/>
        </w:rPr>
        <w:t>3、如我方中选，我方承诺：</w:t>
      </w:r>
    </w:p>
    <w:p w14:paraId="192C27F4">
      <w:pPr>
        <w:spacing w:line="360" w:lineRule="auto"/>
        <w:ind w:firstLine="640" w:firstLineChars="200"/>
        <w:rPr>
          <w:rStyle w:val="16"/>
          <w:rFonts w:hint="eastAsia" w:ascii="仿宋_GB2312" w:hAnsi="仿宋_GB2312" w:eastAsia="仿宋_GB2312" w:cs="仿宋_GB2312"/>
          <w:color w:val="000000"/>
          <w:sz w:val="32"/>
          <w:szCs w:val="32"/>
        </w:rPr>
      </w:pPr>
      <w:r>
        <w:rPr>
          <w:rStyle w:val="16"/>
          <w:rFonts w:hint="eastAsia" w:ascii="仿宋_GB2312" w:hAnsi="仿宋_GB2312" w:eastAsia="仿宋_GB2312" w:cs="仿宋_GB2312"/>
          <w:color w:val="000000"/>
          <w:sz w:val="32"/>
          <w:szCs w:val="32"/>
        </w:rPr>
        <w:t>1）在项目开展时，由本申请文件中的技术人员参加工作，且保证足够的技术力量投入、工作深度与力度、技术管理与复核、成果文件完整度、工作效能，并配合贵方过程控制的要求。</w:t>
      </w:r>
    </w:p>
    <w:p w14:paraId="4E057DA7">
      <w:pPr>
        <w:spacing w:line="360" w:lineRule="auto"/>
        <w:ind w:firstLine="640" w:firstLineChars="200"/>
        <w:rPr>
          <w:rStyle w:val="16"/>
          <w:rFonts w:hint="eastAsia" w:ascii="仿宋_GB2312" w:hAnsi="仿宋_GB2312" w:eastAsia="仿宋_GB2312" w:cs="仿宋_GB2312"/>
          <w:color w:val="000000"/>
          <w:sz w:val="32"/>
          <w:szCs w:val="32"/>
        </w:rPr>
      </w:pPr>
      <w:r>
        <w:rPr>
          <w:rStyle w:val="16"/>
          <w:rFonts w:hint="eastAsia" w:ascii="仿宋_GB2312" w:hAnsi="仿宋_GB2312" w:eastAsia="仿宋_GB2312" w:cs="仿宋_GB2312"/>
          <w:color w:val="000000"/>
          <w:sz w:val="32"/>
          <w:szCs w:val="32"/>
        </w:rPr>
        <w:t>2）在项目开展时，满足贵方的作业期要求，不发生因我方原因延误作业期的行为。</w:t>
      </w:r>
    </w:p>
    <w:p w14:paraId="43B24A7B">
      <w:pPr>
        <w:spacing w:line="360" w:lineRule="auto"/>
        <w:ind w:firstLine="640" w:firstLineChars="200"/>
        <w:rPr>
          <w:rStyle w:val="16"/>
          <w:rFonts w:hint="eastAsia" w:ascii="仿宋_GB2312" w:hAnsi="仿宋_GB2312" w:eastAsia="仿宋_GB2312" w:cs="仿宋_GB2312"/>
          <w:color w:val="000000"/>
          <w:sz w:val="32"/>
          <w:szCs w:val="32"/>
        </w:rPr>
      </w:pPr>
      <w:r>
        <w:rPr>
          <w:rStyle w:val="16"/>
          <w:rFonts w:hint="eastAsia" w:ascii="仿宋_GB2312" w:hAnsi="仿宋_GB2312" w:eastAsia="仿宋_GB2312" w:cs="仿宋_GB2312"/>
          <w:color w:val="000000"/>
          <w:sz w:val="32"/>
          <w:szCs w:val="32"/>
        </w:rPr>
        <w:t>3）不发生出具虚假成果或报告的行为。</w:t>
      </w:r>
    </w:p>
    <w:p w14:paraId="29E03038">
      <w:pPr>
        <w:spacing w:line="360" w:lineRule="auto"/>
        <w:ind w:firstLine="640" w:firstLineChars="200"/>
        <w:rPr>
          <w:rStyle w:val="16"/>
          <w:rFonts w:hint="eastAsia" w:ascii="仿宋_GB2312" w:hAnsi="仿宋_GB2312" w:eastAsia="仿宋_GB2312" w:cs="仿宋_GB2312"/>
          <w:color w:val="000000"/>
          <w:sz w:val="32"/>
          <w:szCs w:val="32"/>
        </w:rPr>
      </w:pPr>
      <w:r>
        <w:rPr>
          <w:rStyle w:val="16"/>
          <w:rFonts w:hint="eastAsia" w:ascii="仿宋_GB2312" w:hAnsi="仿宋_GB2312" w:eastAsia="仿宋_GB2312" w:cs="仿宋_GB2312"/>
          <w:color w:val="000000"/>
          <w:sz w:val="32"/>
          <w:szCs w:val="32"/>
        </w:rPr>
        <w:t>4）不发生因我方原因造成项目开展出现重大失误的行为。</w:t>
      </w:r>
    </w:p>
    <w:p w14:paraId="18A69E87">
      <w:pPr>
        <w:spacing w:line="360" w:lineRule="auto"/>
        <w:ind w:firstLine="640" w:firstLineChars="200"/>
        <w:rPr>
          <w:rStyle w:val="16"/>
          <w:rFonts w:hint="eastAsia" w:ascii="仿宋_GB2312" w:hAnsi="仿宋_GB2312" w:eastAsia="仿宋_GB2312" w:cs="仿宋_GB2312"/>
          <w:color w:val="000000"/>
          <w:sz w:val="32"/>
          <w:szCs w:val="32"/>
        </w:rPr>
      </w:pPr>
      <w:r>
        <w:rPr>
          <w:rStyle w:val="16"/>
          <w:rFonts w:hint="eastAsia" w:ascii="仿宋_GB2312" w:hAnsi="仿宋_GB2312" w:eastAsia="仿宋_GB2312" w:cs="仿宋_GB2312"/>
          <w:color w:val="000000"/>
          <w:sz w:val="32"/>
          <w:szCs w:val="32"/>
        </w:rPr>
        <w:t>5）将接受贵方对项目团队的考核管理办法及其他管理规定。</w:t>
      </w:r>
    </w:p>
    <w:p w14:paraId="4B1C4DC6">
      <w:pPr>
        <w:spacing w:line="360" w:lineRule="auto"/>
        <w:ind w:firstLine="640" w:firstLineChars="200"/>
        <w:rPr>
          <w:rStyle w:val="16"/>
          <w:rFonts w:hint="eastAsia" w:ascii="仿宋_GB2312" w:hAnsi="仿宋_GB2312" w:eastAsia="仿宋_GB2312" w:cs="仿宋_GB2312"/>
          <w:color w:val="000000"/>
          <w:sz w:val="32"/>
          <w:szCs w:val="32"/>
        </w:rPr>
      </w:pPr>
      <w:r>
        <w:rPr>
          <w:rStyle w:val="16"/>
          <w:rFonts w:hint="eastAsia" w:ascii="仿宋_GB2312" w:hAnsi="仿宋_GB2312" w:eastAsia="仿宋_GB2312" w:cs="仿宋_GB2312"/>
          <w:color w:val="000000"/>
          <w:sz w:val="32"/>
          <w:szCs w:val="32"/>
        </w:rPr>
        <w:t>4、采购文件、申请文件中的实质性条款也属我方承诺的内容。</w:t>
      </w:r>
    </w:p>
    <w:p w14:paraId="17E08FA1">
      <w:pPr>
        <w:spacing w:line="360" w:lineRule="auto"/>
        <w:ind w:firstLine="320" w:firstLineChars="100"/>
        <w:rPr>
          <w:rStyle w:val="16"/>
          <w:rFonts w:hint="eastAsia" w:ascii="仿宋_GB2312" w:hAnsi="仿宋_GB2312" w:eastAsia="仿宋_GB2312" w:cs="仿宋_GB2312"/>
          <w:color w:val="000000"/>
          <w:sz w:val="32"/>
          <w:szCs w:val="32"/>
        </w:rPr>
      </w:pPr>
      <w:r>
        <w:rPr>
          <w:rStyle w:val="16"/>
          <w:rFonts w:hint="eastAsia" w:ascii="仿宋_GB2312" w:hAnsi="仿宋_GB2312" w:eastAsia="仿宋_GB2312" w:cs="仿宋_GB2312"/>
          <w:color w:val="000000"/>
          <w:sz w:val="32"/>
          <w:szCs w:val="32"/>
        </w:rPr>
        <w:t xml:space="preserve"> </w:t>
      </w:r>
    </w:p>
    <w:p w14:paraId="1CF2E024">
      <w:pPr>
        <w:spacing w:line="360" w:lineRule="auto"/>
        <w:ind w:firstLine="320" w:firstLineChars="100"/>
        <w:rPr>
          <w:rStyle w:val="16"/>
          <w:rFonts w:hint="eastAsia" w:ascii="仿宋_GB2312" w:hAnsi="仿宋_GB2312" w:eastAsia="仿宋_GB2312" w:cs="仿宋_GB2312"/>
          <w:color w:val="000000"/>
          <w:sz w:val="32"/>
          <w:szCs w:val="32"/>
        </w:rPr>
      </w:pPr>
      <w:r>
        <w:rPr>
          <w:rStyle w:val="16"/>
          <w:rFonts w:hint="eastAsia" w:ascii="仿宋_GB2312" w:hAnsi="仿宋_GB2312" w:eastAsia="仿宋_GB2312" w:cs="仿宋_GB2312"/>
          <w:color w:val="000000"/>
          <w:sz w:val="32"/>
          <w:szCs w:val="32"/>
        </w:rPr>
        <w:t>采购申请人：__________________________(签字)</w:t>
      </w:r>
    </w:p>
    <w:p w14:paraId="2C8D97F3">
      <w:pPr>
        <w:spacing w:line="360" w:lineRule="auto"/>
        <w:rPr>
          <w:rStyle w:val="16"/>
          <w:rFonts w:hint="eastAsia" w:ascii="仿宋_GB2312" w:hAnsi="仿宋_GB2312" w:eastAsia="仿宋_GB2312" w:cs="仿宋_GB2312"/>
          <w:color w:val="000000"/>
          <w:sz w:val="32"/>
          <w:szCs w:val="32"/>
        </w:rPr>
      </w:pPr>
    </w:p>
    <w:p w14:paraId="4F0B1B12">
      <w:pPr>
        <w:spacing w:line="360" w:lineRule="auto"/>
        <w:ind w:firstLine="320" w:firstLineChars="100"/>
        <w:rPr>
          <w:rStyle w:val="16"/>
          <w:rFonts w:hint="eastAsia" w:ascii="仿宋_GB2312" w:hAnsi="仿宋_GB2312" w:eastAsia="仿宋_GB2312" w:cs="仿宋_GB2312"/>
          <w:color w:val="000000"/>
          <w:sz w:val="32"/>
          <w:szCs w:val="32"/>
        </w:rPr>
      </w:pPr>
      <w:r>
        <w:rPr>
          <w:rStyle w:val="16"/>
          <w:rFonts w:hint="eastAsia" w:ascii="仿宋_GB2312" w:hAnsi="仿宋_GB2312" w:eastAsia="仿宋_GB2312" w:cs="仿宋_GB2312"/>
          <w:color w:val="000000"/>
          <w:sz w:val="32"/>
          <w:szCs w:val="32"/>
        </w:rPr>
        <w:t>采购申请人单位：</w:t>
      </w:r>
      <w:r>
        <w:rPr>
          <w:rStyle w:val="16"/>
          <w:rFonts w:hint="eastAsia" w:ascii="仿宋_GB2312" w:hAnsi="仿宋_GB2312" w:eastAsia="仿宋_GB2312" w:cs="仿宋_GB2312"/>
          <w:color w:val="000000"/>
          <w:sz w:val="32"/>
          <w:szCs w:val="32"/>
          <w:u w:val="single" w:color="000000"/>
        </w:rPr>
        <w:t xml:space="preserve">                    </w:t>
      </w:r>
      <w:r>
        <w:rPr>
          <w:rStyle w:val="16"/>
          <w:rFonts w:hint="eastAsia" w:ascii="仿宋_GB2312" w:hAnsi="仿宋_GB2312" w:eastAsia="仿宋_GB2312" w:cs="仿宋_GB2312"/>
          <w:color w:val="000000"/>
          <w:sz w:val="32"/>
          <w:szCs w:val="32"/>
        </w:rPr>
        <w:t>（盖单位行政公章）</w:t>
      </w:r>
    </w:p>
    <w:p w14:paraId="781A5A8D">
      <w:pPr>
        <w:spacing w:line="360" w:lineRule="auto"/>
        <w:rPr>
          <w:rStyle w:val="16"/>
          <w:rFonts w:hint="eastAsia" w:ascii="仿宋_GB2312" w:hAnsi="仿宋_GB2312" w:eastAsia="仿宋_GB2312" w:cs="仿宋_GB2312"/>
          <w:color w:val="000000"/>
          <w:sz w:val="32"/>
          <w:szCs w:val="32"/>
        </w:rPr>
      </w:pPr>
    </w:p>
    <w:p w14:paraId="2610CB56">
      <w:pPr>
        <w:spacing w:line="360" w:lineRule="auto"/>
        <w:ind w:right="600" w:firstLine="4480" w:firstLineChars="1400"/>
        <w:rPr>
          <w:rStyle w:val="16"/>
          <w:rFonts w:hint="eastAsia" w:ascii="仿宋_GB2312" w:hAnsi="仿宋_GB2312" w:eastAsia="仿宋_GB2312" w:cs="仿宋_GB2312"/>
          <w:color w:val="000000"/>
          <w:sz w:val="32"/>
          <w:szCs w:val="32"/>
        </w:rPr>
      </w:pPr>
      <w:r>
        <w:rPr>
          <w:rStyle w:val="16"/>
          <w:rFonts w:hint="eastAsia" w:ascii="仿宋_GB2312" w:hAnsi="仿宋_GB2312" w:eastAsia="仿宋_GB2312" w:cs="仿宋_GB2312"/>
          <w:color w:val="000000"/>
          <w:sz w:val="32"/>
          <w:szCs w:val="32"/>
          <w:u w:val="single" w:color="000000"/>
        </w:rPr>
        <w:t xml:space="preserve">       </w:t>
      </w:r>
      <w:r>
        <w:rPr>
          <w:rStyle w:val="16"/>
          <w:rFonts w:hint="eastAsia" w:ascii="仿宋_GB2312" w:hAnsi="仿宋_GB2312" w:eastAsia="仿宋_GB2312" w:cs="仿宋_GB2312"/>
          <w:color w:val="000000"/>
          <w:sz w:val="32"/>
          <w:szCs w:val="32"/>
        </w:rPr>
        <w:t>年</w:t>
      </w:r>
      <w:r>
        <w:rPr>
          <w:rStyle w:val="16"/>
          <w:rFonts w:hint="eastAsia" w:ascii="仿宋_GB2312" w:hAnsi="仿宋_GB2312" w:eastAsia="仿宋_GB2312" w:cs="仿宋_GB2312"/>
          <w:color w:val="000000"/>
          <w:sz w:val="32"/>
          <w:szCs w:val="32"/>
          <w:u w:val="single" w:color="000000"/>
        </w:rPr>
        <w:t xml:space="preserve">      </w:t>
      </w:r>
      <w:r>
        <w:rPr>
          <w:rStyle w:val="16"/>
          <w:rFonts w:hint="eastAsia" w:ascii="仿宋_GB2312" w:hAnsi="仿宋_GB2312" w:eastAsia="仿宋_GB2312" w:cs="仿宋_GB2312"/>
          <w:color w:val="000000"/>
          <w:sz w:val="32"/>
          <w:szCs w:val="32"/>
        </w:rPr>
        <w:t>月</w:t>
      </w:r>
      <w:r>
        <w:rPr>
          <w:rStyle w:val="16"/>
          <w:rFonts w:hint="eastAsia" w:ascii="仿宋_GB2312" w:hAnsi="仿宋_GB2312" w:eastAsia="仿宋_GB2312" w:cs="仿宋_GB2312"/>
          <w:color w:val="000000"/>
          <w:sz w:val="32"/>
          <w:szCs w:val="32"/>
          <w:u w:val="single" w:color="000000"/>
        </w:rPr>
        <w:t xml:space="preserve">    </w:t>
      </w:r>
      <w:r>
        <w:rPr>
          <w:rStyle w:val="16"/>
          <w:rFonts w:hint="eastAsia" w:ascii="仿宋_GB2312" w:hAnsi="仿宋_GB2312" w:eastAsia="仿宋_GB2312" w:cs="仿宋_GB2312"/>
          <w:color w:val="000000"/>
          <w:sz w:val="32"/>
          <w:szCs w:val="32"/>
        </w:rPr>
        <w:t>日</w:t>
      </w:r>
    </w:p>
    <w:p w14:paraId="6D555C4F">
      <w:pPr>
        <w:spacing w:line="360" w:lineRule="auto"/>
        <w:jc w:val="center"/>
        <w:rPr>
          <w:rStyle w:val="16"/>
          <w:rFonts w:hint="eastAsia" w:ascii="仿宋_GB2312" w:hAnsi="仿宋_GB2312" w:eastAsia="仿宋_GB2312" w:cs="仿宋_GB2312"/>
        </w:rPr>
      </w:pPr>
    </w:p>
    <w:p w14:paraId="7EC33A22">
      <w:pPr>
        <w:spacing w:line="360" w:lineRule="auto"/>
        <w:jc w:val="left"/>
        <w:rPr>
          <w:rStyle w:val="16"/>
          <w:rFonts w:hint="eastAsia" w:ascii="仿宋_GB2312" w:hAnsi="仿宋_GB2312" w:eastAsia="仿宋_GB2312" w:cs="仿宋_GB2312"/>
          <w:b/>
          <w:color w:val="000000"/>
          <w:kern w:val="0"/>
          <w:sz w:val="28"/>
          <w:szCs w:val="28"/>
          <w:lang w:val="zh-CN"/>
        </w:rPr>
        <w:sectPr>
          <w:pgSz w:w="11906" w:h="16838"/>
          <w:pgMar w:top="1701" w:right="1134" w:bottom="1134" w:left="1701" w:header="851" w:footer="851" w:gutter="0"/>
          <w:pgNumType w:fmt="decimal"/>
          <w:cols w:space="720" w:num="1"/>
          <w:docGrid w:type="linesAndChars" w:linePitch="312" w:charSpace="0"/>
        </w:sectPr>
      </w:pPr>
    </w:p>
    <w:p w14:paraId="229A18DF">
      <w:pPr>
        <w:numPr>
          <w:ilvl w:val="0"/>
          <w:numId w:val="0"/>
        </w:numPr>
        <w:spacing w:line="360" w:lineRule="auto"/>
        <w:jc w:val="center"/>
        <w:outlineLvl w:val="1"/>
        <w:rPr>
          <w:rFonts w:hint="eastAsia" w:ascii="黑体" w:hAnsi="黑体" w:eastAsia="黑体" w:cs="黑体"/>
          <w:b w:val="0"/>
          <w:bCs/>
          <w:kern w:val="2"/>
          <w:sz w:val="28"/>
          <w:szCs w:val="28"/>
          <w:lang w:val="en-US" w:eastAsia="zh-CN" w:bidi="ar-SA"/>
        </w:rPr>
      </w:pPr>
      <w:r>
        <w:rPr>
          <w:rFonts w:hint="eastAsia" w:ascii="黑体" w:hAnsi="黑体" w:eastAsia="黑体" w:cs="黑体"/>
          <w:b w:val="0"/>
          <w:bCs/>
          <w:kern w:val="2"/>
          <w:sz w:val="28"/>
          <w:szCs w:val="28"/>
          <w:lang w:val="en-US" w:eastAsia="zh-CN" w:bidi="ar-SA"/>
        </w:rPr>
        <w:t>五、方案报价表</w:t>
      </w:r>
    </w:p>
    <w:tbl>
      <w:tblPr>
        <w:tblStyle w:val="12"/>
        <w:tblW w:w="8610"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8"/>
        <w:gridCol w:w="3838"/>
        <w:gridCol w:w="1935"/>
        <w:gridCol w:w="1559"/>
      </w:tblGrid>
      <w:tr w14:paraId="6034C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 w:hRule="atLeast"/>
        </w:trPr>
        <w:tc>
          <w:tcPr>
            <w:tcW w:w="1278" w:type="dxa"/>
            <w:tcBorders>
              <w:top w:val="single" w:color="000000" w:sz="4" w:space="0"/>
              <w:left w:val="single" w:color="000000" w:sz="4" w:space="0"/>
              <w:bottom w:val="single" w:color="000000" w:sz="4" w:space="0"/>
              <w:right w:val="single" w:color="000000" w:sz="4" w:space="0"/>
            </w:tcBorders>
            <w:vAlign w:val="center"/>
          </w:tcPr>
          <w:p w14:paraId="0CB8F9DB">
            <w:pPr>
              <w:spacing w:line="360" w:lineRule="auto"/>
              <w:jc w:val="center"/>
              <w:rPr>
                <w:rStyle w:val="16"/>
                <w:rFonts w:hint="eastAsia" w:ascii="黑体" w:hAnsi="黑体" w:eastAsia="黑体" w:cs="黑体"/>
                <w:bCs/>
                <w:color w:val="000000"/>
              </w:rPr>
            </w:pPr>
            <w:r>
              <w:rPr>
                <w:rStyle w:val="16"/>
                <w:rFonts w:hint="eastAsia" w:ascii="黑体" w:hAnsi="黑体" w:eastAsia="黑体" w:cs="黑体"/>
                <w:bCs/>
                <w:color w:val="000000"/>
              </w:rPr>
              <w:t>序号</w:t>
            </w:r>
          </w:p>
        </w:tc>
        <w:tc>
          <w:tcPr>
            <w:tcW w:w="3838" w:type="dxa"/>
            <w:tcBorders>
              <w:top w:val="single" w:color="000000" w:sz="4" w:space="0"/>
              <w:left w:val="single" w:color="000000" w:sz="4" w:space="0"/>
              <w:bottom w:val="single" w:color="000000" w:sz="4" w:space="0"/>
              <w:right w:val="single" w:color="000000" w:sz="4" w:space="0"/>
            </w:tcBorders>
            <w:vAlign w:val="center"/>
          </w:tcPr>
          <w:p w14:paraId="2F560E0B">
            <w:pPr>
              <w:spacing w:line="360" w:lineRule="auto"/>
              <w:jc w:val="center"/>
              <w:rPr>
                <w:rStyle w:val="16"/>
                <w:rFonts w:hint="eastAsia" w:ascii="黑体" w:hAnsi="黑体" w:eastAsia="黑体" w:cs="黑体"/>
                <w:bCs/>
                <w:color w:val="000000"/>
              </w:rPr>
            </w:pPr>
            <w:r>
              <w:rPr>
                <w:rStyle w:val="16"/>
                <w:rFonts w:hint="eastAsia" w:ascii="黑体" w:hAnsi="黑体" w:eastAsia="黑体" w:cs="黑体"/>
                <w:bCs/>
                <w:color w:val="000000"/>
              </w:rPr>
              <w:t>项目名称</w:t>
            </w:r>
          </w:p>
        </w:tc>
        <w:tc>
          <w:tcPr>
            <w:tcW w:w="1935" w:type="dxa"/>
            <w:tcBorders>
              <w:top w:val="single" w:color="000000" w:sz="4" w:space="0"/>
              <w:left w:val="single" w:color="000000" w:sz="4" w:space="0"/>
              <w:bottom w:val="single" w:color="000000" w:sz="4" w:space="0"/>
              <w:right w:val="single" w:color="000000" w:sz="4" w:space="0"/>
            </w:tcBorders>
            <w:vAlign w:val="center"/>
          </w:tcPr>
          <w:p w14:paraId="13657A6A">
            <w:pPr>
              <w:spacing w:line="360" w:lineRule="auto"/>
              <w:jc w:val="center"/>
              <w:rPr>
                <w:rStyle w:val="16"/>
                <w:rFonts w:hint="eastAsia" w:ascii="黑体" w:hAnsi="黑体" w:eastAsia="黑体" w:cs="黑体"/>
                <w:bCs/>
                <w:color w:val="000000"/>
              </w:rPr>
            </w:pPr>
            <w:r>
              <w:rPr>
                <w:rStyle w:val="16"/>
                <w:rFonts w:hint="eastAsia" w:ascii="黑体" w:hAnsi="黑体" w:eastAsia="黑体" w:cs="黑体"/>
                <w:bCs/>
                <w:color w:val="000000"/>
              </w:rPr>
              <w:t>总价(万元)</w:t>
            </w:r>
          </w:p>
        </w:tc>
        <w:tc>
          <w:tcPr>
            <w:tcW w:w="1559" w:type="dxa"/>
            <w:tcBorders>
              <w:top w:val="single" w:color="000000" w:sz="4" w:space="0"/>
              <w:left w:val="single" w:color="000000" w:sz="4" w:space="0"/>
              <w:bottom w:val="single" w:color="000000" w:sz="4" w:space="0"/>
              <w:right w:val="single" w:color="000000" w:sz="4" w:space="0"/>
            </w:tcBorders>
            <w:vAlign w:val="center"/>
          </w:tcPr>
          <w:p w14:paraId="3715F3C0">
            <w:pPr>
              <w:spacing w:line="360" w:lineRule="auto"/>
              <w:jc w:val="center"/>
              <w:rPr>
                <w:rStyle w:val="16"/>
                <w:rFonts w:hint="eastAsia" w:ascii="黑体" w:hAnsi="黑体" w:eastAsia="黑体" w:cs="黑体"/>
                <w:bCs/>
                <w:color w:val="000000"/>
              </w:rPr>
            </w:pPr>
            <w:r>
              <w:rPr>
                <w:rStyle w:val="16"/>
                <w:rFonts w:hint="eastAsia" w:ascii="黑体" w:hAnsi="黑体" w:eastAsia="黑体" w:cs="黑体"/>
                <w:bCs/>
                <w:color w:val="000000"/>
              </w:rPr>
              <w:t>备注</w:t>
            </w:r>
          </w:p>
        </w:tc>
      </w:tr>
      <w:tr w14:paraId="2B194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278" w:type="dxa"/>
            <w:tcBorders>
              <w:top w:val="single" w:color="000000" w:sz="4" w:space="0"/>
              <w:left w:val="single" w:color="000000" w:sz="4" w:space="0"/>
              <w:bottom w:val="single" w:color="000000" w:sz="4" w:space="0"/>
              <w:right w:val="single" w:color="000000" w:sz="4" w:space="0"/>
            </w:tcBorders>
            <w:vAlign w:val="center"/>
          </w:tcPr>
          <w:p w14:paraId="647FAE91">
            <w:pPr>
              <w:spacing w:line="360" w:lineRule="auto"/>
              <w:jc w:val="center"/>
              <w:rPr>
                <w:rStyle w:val="16"/>
                <w:rFonts w:hint="default" w:ascii="Times New Roman" w:hAnsi="Times New Roman" w:eastAsia="仿宋_GB2312" w:cs="Times New Roman"/>
                <w:bCs/>
                <w:color w:val="000000"/>
              </w:rPr>
            </w:pPr>
            <w:r>
              <w:rPr>
                <w:rStyle w:val="16"/>
                <w:rFonts w:hint="default" w:ascii="Times New Roman" w:hAnsi="Times New Roman" w:eastAsia="仿宋_GB2312" w:cs="Times New Roman"/>
                <w:bCs/>
                <w:color w:val="000000"/>
              </w:rPr>
              <w:t>1</w:t>
            </w:r>
          </w:p>
        </w:tc>
        <w:tc>
          <w:tcPr>
            <w:tcW w:w="3838" w:type="dxa"/>
            <w:tcBorders>
              <w:top w:val="single" w:color="000000" w:sz="4" w:space="0"/>
              <w:left w:val="single" w:color="000000" w:sz="4" w:space="0"/>
              <w:bottom w:val="single" w:color="000000" w:sz="4" w:space="0"/>
              <w:right w:val="single" w:color="000000" w:sz="4" w:space="0"/>
            </w:tcBorders>
            <w:vAlign w:val="center"/>
          </w:tcPr>
          <w:p w14:paraId="1158D35C">
            <w:pPr>
              <w:spacing w:line="360" w:lineRule="auto"/>
              <w:jc w:val="left"/>
              <w:rPr>
                <w:rStyle w:val="16"/>
                <w:rFonts w:hint="default" w:ascii="Times New Roman" w:hAnsi="Times New Roman" w:eastAsia="仿宋_GB2312" w:cs="Times New Roman"/>
                <w:bCs/>
                <w:color w:val="000000"/>
              </w:rPr>
            </w:pPr>
            <w:r>
              <w:rPr>
                <w:rStyle w:val="16"/>
                <w:rFonts w:hint="default" w:ascii="Times New Roman" w:hAnsi="Times New Roman" w:eastAsia="仿宋_GB2312" w:cs="Times New Roman"/>
                <w:sz w:val="28"/>
                <w:szCs w:val="28"/>
                <w:u w:val="single" w:color="000000"/>
              </w:rPr>
              <w:t>基于同位素的四川省主要地形</w:t>
            </w:r>
            <w:r>
              <w:rPr>
                <w:rStyle w:val="16"/>
                <w:rFonts w:hint="eastAsia" w:ascii="Times New Roman" w:hAnsi="Times New Roman" w:eastAsia="仿宋_GB2312" w:cs="Times New Roman"/>
                <w:sz w:val="28"/>
                <w:szCs w:val="28"/>
                <w:u w:val="single" w:color="000000"/>
                <w:lang w:eastAsia="zh-CN"/>
              </w:rPr>
              <w:t>“</w:t>
            </w:r>
            <w:r>
              <w:rPr>
                <w:rStyle w:val="16"/>
                <w:rFonts w:hint="default" w:ascii="Times New Roman" w:hAnsi="Times New Roman" w:eastAsia="仿宋_GB2312" w:cs="Times New Roman"/>
                <w:sz w:val="28"/>
                <w:szCs w:val="28"/>
                <w:u w:val="single" w:color="000000"/>
              </w:rPr>
              <w:t>污染源-污染驱动-跨介质传输过程-污染通量与均衡</w:t>
            </w:r>
            <w:r>
              <w:rPr>
                <w:rStyle w:val="16"/>
                <w:rFonts w:hint="eastAsia" w:ascii="Times New Roman" w:hAnsi="Times New Roman" w:eastAsia="仿宋_GB2312" w:cs="Times New Roman"/>
                <w:sz w:val="28"/>
                <w:szCs w:val="28"/>
                <w:u w:val="single" w:color="000000"/>
                <w:lang w:eastAsia="zh-CN"/>
              </w:rPr>
              <w:t>”</w:t>
            </w:r>
            <w:r>
              <w:rPr>
                <w:rStyle w:val="16"/>
                <w:rFonts w:hint="default" w:ascii="Times New Roman" w:hAnsi="Times New Roman" w:eastAsia="仿宋_GB2312" w:cs="Times New Roman"/>
                <w:sz w:val="28"/>
                <w:szCs w:val="28"/>
                <w:u w:val="single" w:color="000000"/>
              </w:rPr>
              <w:t>测试与数据解析服务采购</w:t>
            </w:r>
          </w:p>
        </w:tc>
        <w:tc>
          <w:tcPr>
            <w:tcW w:w="1935" w:type="dxa"/>
            <w:tcBorders>
              <w:top w:val="single" w:color="000000" w:sz="4" w:space="0"/>
              <w:left w:val="single" w:color="000000" w:sz="4" w:space="0"/>
              <w:bottom w:val="single" w:color="000000" w:sz="4" w:space="0"/>
              <w:right w:val="single" w:color="000000" w:sz="4" w:space="0"/>
            </w:tcBorders>
            <w:vAlign w:val="center"/>
          </w:tcPr>
          <w:p w14:paraId="17B12C5E">
            <w:pPr>
              <w:spacing w:line="360" w:lineRule="auto"/>
              <w:jc w:val="center"/>
              <w:rPr>
                <w:rStyle w:val="16"/>
                <w:rFonts w:hint="default" w:ascii="Times New Roman" w:hAnsi="Times New Roman" w:eastAsia="仿宋_GB2312" w:cs="Times New Roman"/>
                <w:bCs/>
                <w:color w:val="000000"/>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2FFD19E">
            <w:pPr>
              <w:spacing w:line="360" w:lineRule="auto"/>
              <w:jc w:val="center"/>
              <w:rPr>
                <w:rStyle w:val="16"/>
                <w:rFonts w:hint="default" w:ascii="Times New Roman" w:hAnsi="Times New Roman" w:eastAsia="仿宋_GB2312" w:cs="Times New Roman"/>
                <w:bCs/>
                <w:color w:val="000000"/>
              </w:rPr>
            </w:pPr>
          </w:p>
        </w:tc>
      </w:tr>
    </w:tbl>
    <w:p w14:paraId="03F00603">
      <w:pPr>
        <w:rPr>
          <w:rFonts w:hint="eastAsia" w:ascii="仿宋" w:hAnsi="仿宋" w:eastAsia="仿宋"/>
        </w:rPr>
      </w:pPr>
    </w:p>
    <w:p w14:paraId="2A234F2C">
      <w:pPr>
        <w:rPr>
          <w:rFonts w:hint="eastAsia" w:ascii="仿宋" w:hAnsi="仿宋" w:eastAsia="仿宋"/>
        </w:rPr>
        <w:sectPr>
          <w:pgSz w:w="11906" w:h="16838"/>
          <w:pgMar w:top="1440" w:right="1800" w:bottom="1440" w:left="1800" w:header="851" w:footer="992" w:gutter="0"/>
          <w:pgNumType w:fmt="decimal"/>
          <w:cols w:space="425" w:num="1"/>
          <w:docGrid w:type="lines" w:linePitch="312" w:charSpace="0"/>
        </w:sectPr>
      </w:pPr>
    </w:p>
    <w:p w14:paraId="27A119A9">
      <w:pPr>
        <w:numPr>
          <w:ilvl w:val="0"/>
          <w:numId w:val="0"/>
        </w:numPr>
        <w:spacing w:line="360" w:lineRule="auto"/>
        <w:jc w:val="center"/>
        <w:outlineLvl w:val="1"/>
        <w:rPr>
          <w:rFonts w:hint="eastAsia" w:ascii="黑体" w:hAnsi="黑体" w:eastAsia="黑体" w:cs="黑体"/>
          <w:b w:val="0"/>
          <w:bCs/>
          <w:kern w:val="2"/>
          <w:sz w:val="32"/>
          <w:szCs w:val="32"/>
          <w:lang w:val="en-US" w:eastAsia="zh-CN" w:bidi="ar-SA"/>
        </w:rPr>
      </w:pPr>
      <w:bookmarkStart w:id="7" w:name="_Toc509304246"/>
      <w:bookmarkStart w:id="8" w:name="_Toc505004470"/>
      <w:bookmarkStart w:id="9" w:name="_Toc73721434"/>
      <w:r>
        <w:rPr>
          <w:rFonts w:hint="eastAsia" w:ascii="黑体" w:hAnsi="黑体" w:eastAsia="黑体" w:cs="黑体"/>
          <w:b w:val="0"/>
          <w:bCs/>
          <w:kern w:val="2"/>
          <w:sz w:val="32"/>
          <w:szCs w:val="32"/>
          <w:lang w:val="en-US" w:eastAsia="zh-CN" w:bidi="ar-SA"/>
        </w:rPr>
        <w:t>六  技术要求偏离表</w:t>
      </w:r>
      <w:bookmarkEnd w:id="7"/>
      <w:bookmarkEnd w:id="8"/>
      <w:bookmarkEnd w:id="9"/>
    </w:p>
    <w:tbl>
      <w:tblPr>
        <w:tblStyle w:val="12"/>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5B7B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6A623797">
            <w:pPr>
              <w:spacing w:line="360" w:lineRule="auto"/>
              <w:jc w:val="center"/>
              <w:rPr>
                <w:rFonts w:hint="eastAsia" w:ascii="黑体" w:hAnsi="黑体" w:eastAsia="黑体" w:cs="黑体"/>
                <w:sz w:val="30"/>
                <w:szCs w:val="30"/>
              </w:rPr>
            </w:pPr>
            <w:r>
              <w:rPr>
                <w:rFonts w:hint="eastAsia" w:ascii="黑体" w:hAnsi="黑体" w:eastAsia="黑体" w:cs="黑体"/>
                <w:sz w:val="30"/>
                <w:szCs w:val="30"/>
              </w:rPr>
              <w:t>序号</w:t>
            </w:r>
          </w:p>
        </w:tc>
        <w:tc>
          <w:tcPr>
            <w:tcW w:w="2795" w:type="dxa"/>
            <w:tcBorders>
              <w:top w:val="single" w:color="auto" w:sz="4" w:space="0"/>
              <w:left w:val="single" w:color="auto" w:sz="4" w:space="0"/>
              <w:bottom w:val="single" w:color="auto" w:sz="4" w:space="0"/>
              <w:right w:val="single" w:color="auto" w:sz="4" w:space="0"/>
            </w:tcBorders>
            <w:vAlign w:val="center"/>
          </w:tcPr>
          <w:p w14:paraId="54FB9BD5">
            <w:pPr>
              <w:spacing w:line="360" w:lineRule="auto"/>
              <w:jc w:val="center"/>
              <w:rPr>
                <w:rFonts w:hint="eastAsia" w:ascii="黑体" w:hAnsi="黑体" w:eastAsia="黑体" w:cs="黑体"/>
                <w:sz w:val="30"/>
                <w:szCs w:val="30"/>
              </w:rPr>
            </w:pPr>
            <w:r>
              <w:rPr>
                <w:rFonts w:hint="eastAsia" w:ascii="黑体" w:hAnsi="黑体" w:eastAsia="黑体" w:cs="黑体"/>
                <w:sz w:val="30"/>
                <w:szCs w:val="30"/>
              </w:rPr>
              <w:t>比选文件技术要求</w:t>
            </w:r>
          </w:p>
        </w:tc>
        <w:tc>
          <w:tcPr>
            <w:tcW w:w="2795" w:type="dxa"/>
            <w:tcBorders>
              <w:top w:val="single" w:color="auto" w:sz="4" w:space="0"/>
              <w:left w:val="single" w:color="auto" w:sz="4" w:space="0"/>
              <w:bottom w:val="single" w:color="auto" w:sz="4" w:space="0"/>
              <w:right w:val="single" w:color="auto" w:sz="4" w:space="0"/>
            </w:tcBorders>
            <w:vAlign w:val="center"/>
          </w:tcPr>
          <w:p w14:paraId="53961D82">
            <w:pPr>
              <w:spacing w:line="360" w:lineRule="auto"/>
              <w:jc w:val="center"/>
              <w:rPr>
                <w:rFonts w:hint="eastAsia" w:ascii="黑体" w:hAnsi="黑体" w:eastAsia="黑体" w:cs="黑体"/>
                <w:sz w:val="30"/>
                <w:szCs w:val="30"/>
              </w:rPr>
            </w:pPr>
            <w:r>
              <w:rPr>
                <w:rFonts w:hint="eastAsia" w:ascii="黑体" w:hAnsi="黑体" w:eastAsia="黑体" w:cs="黑体"/>
                <w:sz w:val="30"/>
                <w:szCs w:val="30"/>
              </w:rPr>
              <w:t>响应文件应答</w:t>
            </w:r>
          </w:p>
        </w:tc>
        <w:tc>
          <w:tcPr>
            <w:tcW w:w="2795" w:type="dxa"/>
            <w:tcBorders>
              <w:top w:val="single" w:color="auto" w:sz="4" w:space="0"/>
              <w:left w:val="single" w:color="auto" w:sz="4" w:space="0"/>
              <w:bottom w:val="single" w:color="auto" w:sz="4" w:space="0"/>
              <w:right w:val="single" w:color="auto" w:sz="4" w:space="0"/>
            </w:tcBorders>
            <w:vAlign w:val="center"/>
          </w:tcPr>
          <w:p w14:paraId="40F6E9FB">
            <w:pPr>
              <w:spacing w:line="360" w:lineRule="auto"/>
              <w:jc w:val="center"/>
              <w:rPr>
                <w:rFonts w:hint="eastAsia" w:ascii="黑体" w:hAnsi="黑体" w:eastAsia="黑体" w:cs="黑体"/>
                <w:sz w:val="30"/>
                <w:szCs w:val="30"/>
              </w:rPr>
            </w:pPr>
            <w:r>
              <w:rPr>
                <w:rFonts w:hint="eastAsia" w:ascii="黑体" w:hAnsi="黑体" w:eastAsia="黑体" w:cs="黑体"/>
                <w:sz w:val="30"/>
                <w:szCs w:val="30"/>
              </w:rPr>
              <w:t>偏离及其影响</w:t>
            </w:r>
          </w:p>
        </w:tc>
      </w:tr>
      <w:tr w14:paraId="7514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Borders>
              <w:top w:val="single" w:color="auto" w:sz="4" w:space="0"/>
              <w:left w:val="single" w:color="auto" w:sz="4" w:space="0"/>
              <w:bottom w:val="single" w:color="auto" w:sz="4" w:space="0"/>
              <w:right w:val="single" w:color="auto" w:sz="4" w:space="0"/>
            </w:tcBorders>
          </w:tcPr>
          <w:p w14:paraId="1B0639D7">
            <w:pPr>
              <w:spacing w:line="360" w:lineRule="auto"/>
              <w:jc w:val="center"/>
              <w:rPr>
                <w:rFonts w:hint="eastAsia" w:ascii="仿宋" w:hAnsi="仿宋" w:eastAsia="仿宋"/>
                <w:sz w:val="32"/>
                <w:szCs w:val="32"/>
              </w:rPr>
            </w:pPr>
          </w:p>
        </w:tc>
        <w:tc>
          <w:tcPr>
            <w:tcW w:w="2795" w:type="dxa"/>
            <w:tcBorders>
              <w:top w:val="single" w:color="auto" w:sz="4" w:space="0"/>
              <w:left w:val="single" w:color="auto" w:sz="4" w:space="0"/>
              <w:bottom w:val="single" w:color="auto" w:sz="4" w:space="0"/>
              <w:right w:val="single" w:color="auto" w:sz="4" w:space="0"/>
            </w:tcBorders>
          </w:tcPr>
          <w:p w14:paraId="58E5AA2C">
            <w:pPr>
              <w:spacing w:line="360" w:lineRule="auto"/>
              <w:jc w:val="center"/>
              <w:rPr>
                <w:rFonts w:hint="eastAsia" w:ascii="仿宋" w:hAnsi="仿宋" w:eastAsia="仿宋"/>
                <w:sz w:val="32"/>
                <w:szCs w:val="32"/>
              </w:rPr>
            </w:pPr>
          </w:p>
        </w:tc>
        <w:tc>
          <w:tcPr>
            <w:tcW w:w="2795" w:type="dxa"/>
            <w:tcBorders>
              <w:top w:val="single" w:color="auto" w:sz="4" w:space="0"/>
              <w:left w:val="single" w:color="auto" w:sz="4" w:space="0"/>
              <w:bottom w:val="single" w:color="auto" w:sz="4" w:space="0"/>
              <w:right w:val="single" w:color="auto" w:sz="4" w:space="0"/>
            </w:tcBorders>
          </w:tcPr>
          <w:p w14:paraId="7DBE353E">
            <w:pPr>
              <w:spacing w:line="360" w:lineRule="auto"/>
              <w:jc w:val="center"/>
              <w:rPr>
                <w:rFonts w:hint="eastAsia" w:ascii="仿宋" w:hAnsi="仿宋" w:eastAsia="仿宋"/>
                <w:sz w:val="32"/>
                <w:szCs w:val="32"/>
              </w:rPr>
            </w:pPr>
          </w:p>
        </w:tc>
        <w:tc>
          <w:tcPr>
            <w:tcW w:w="2795" w:type="dxa"/>
            <w:tcBorders>
              <w:top w:val="single" w:color="auto" w:sz="4" w:space="0"/>
              <w:left w:val="single" w:color="auto" w:sz="4" w:space="0"/>
              <w:bottom w:val="single" w:color="auto" w:sz="4" w:space="0"/>
              <w:right w:val="single" w:color="auto" w:sz="4" w:space="0"/>
            </w:tcBorders>
          </w:tcPr>
          <w:p w14:paraId="050D94DF">
            <w:pPr>
              <w:spacing w:line="360" w:lineRule="auto"/>
              <w:jc w:val="center"/>
              <w:rPr>
                <w:rFonts w:hint="eastAsia" w:ascii="仿宋" w:hAnsi="仿宋" w:eastAsia="仿宋"/>
                <w:sz w:val="32"/>
                <w:szCs w:val="32"/>
              </w:rPr>
            </w:pPr>
          </w:p>
        </w:tc>
      </w:tr>
      <w:tr w14:paraId="6B98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Borders>
              <w:top w:val="single" w:color="auto" w:sz="4" w:space="0"/>
              <w:left w:val="single" w:color="auto" w:sz="4" w:space="0"/>
              <w:bottom w:val="single" w:color="auto" w:sz="4" w:space="0"/>
              <w:right w:val="single" w:color="auto" w:sz="4" w:space="0"/>
            </w:tcBorders>
          </w:tcPr>
          <w:p w14:paraId="3CF6EA72">
            <w:pPr>
              <w:spacing w:line="360" w:lineRule="auto"/>
              <w:jc w:val="center"/>
              <w:rPr>
                <w:rFonts w:hint="eastAsia" w:ascii="仿宋" w:hAnsi="仿宋" w:eastAsia="仿宋"/>
                <w:sz w:val="32"/>
                <w:szCs w:val="32"/>
              </w:rPr>
            </w:pPr>
          </w:p>
        </w:tc>
        <w:tc>
          <w:tcPr>
            <w:tcW w:w="2795" w:type="dxa"/>
            <w:tcBorders>
              <w:top w:val="single" w:color="auto" w:sz="4" w:space="0"/>
              <w:left w:val="single" w:color="auto" w:sz="4" w:space="0"/>
              <w:bottom w:val="single" w:color="auto" w:sz="4" w:space="0"/>
              <w:right w:val="single" w:color="auto" w:sz="4" w:space="0"/>
            </w:tcBorders>
          </w:tcPr>
          <w:p w14:paraId="678CE8DC">
            <w:pPr>
              <w:spacing w:line="360" w:lineRule="auto"/>
              <w:jc w:val="center"/>
              <w:rPr>
                <w:rFonts w:hint="eastAsia" w:ascii="仿宋" w:hAnsi="仿宋" w:eastAsia="仿宋"/>
                <w:sz w:val="32"/>
                <w:szCs w:val="32"/>
              </w:rPr>
            </w:pPr>
          </w:p>
        </w:tc>
        <w:tc>
          <w:tcPr>
            <w:tcW w:w="2795" w:type="dxa"/>
            <w:tcBorders>
              <w:top w:val="single" w:color="auto" w:sz="4" w:space="0"/>
              <w:left w:val="single" w:color="auto" w:sz="4" w:space="0"/>
              <w:bottom w:val="single" w:color="auto" w:sz="4" w:space="0"/>
              <w:right w:val="single" w:color="auto" w:sz="4" w:space="0"/>
            </w:tcBorders>
          </w:tcPr>
          <w:p w14:paraId="23CE2AC6">
            <w:pPr>
              <w:spacing w:line="360" w:lineRule="auto"/>
              <w:jc w:val="center"/>
              <w:rPr>
                <w:rFonts w:hint="eastAsia" w:ascii="仿宋" w:hAnsi="仿宋" w:eastAsia="仿宋"/>
                <w:sz w:val="32"/>
                <w:szCs w:val="32"/>
              </w:rPr>
            </w:pPr>
          </w:p>
        </w:tc>
        <w:tc>
          <w:tcPr>
            <w:tcW w:w="2795" w:type="dxa"/>
            <w:tcBorders>
              <w:top w:val="single" w:color="auto" w:sz="4" w:space="0"/>
              <w:left w:val="single" w:color="auto" w:sz="4" w:space="0"/>
              <w:bottom w:val="single" w:color="auto" w:sz="4" w:space="0"/>
              <w:right w:val="single" w:color="auto" w:sz="4" w:space="0"/>
            </w:tcBorders>
          </w:tcPr>
          <w:p w14:paraId="374BA228">
            <w:pPr>
              <w:spacing w:line="360" w:lineRule="auto"/>
              <w:jc w:val="center"/>
              <w:rPr>
                <w:rFonts w:hint="eastAsia" w:ascii="仿宋" w:hAnsi="仿宋" w:eastAsia="仿宋"/>
                <w:sz w:val="32"/>
                <w:szCs w:val="32"/>
              </w:rPr>
            </w:pPr>
          </w:p>
        </w:tc>
      </w:tr>
      <w:tr w14:paraId="127E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Borders>
              <w:top w:val="single" w:color="auto" w:sz="4" w:space="0"/>
              <w:left w:val="single" w:color="auto" w:sz="4" w:space="0"/>
              <w:bottom w:val="single" w:color="auto" w:sz="4" w:space="0"/>
              <w:right w:val="single" w:color="auto" w:sz="4" w:space="0"/>
            </w:tcBorders>
          </w:tcPr>
          <w:p w14:paraId="59B8326F">
            <w:pPr>
              <w:spacing w:line="360" w:lineRule="auto"/>
              <w:jc w:val="center"/>
              <w:rPr>
                <w:rFonts w:hint="eastAsia" w:ascii="仿宋" w:hAnsi="仿宋" w:eastAsia="仿宋"/>
                <w:sz w:val="32"/>
                <w:szCs w:val="32"/>
              </w:rPr>
            </w:pPr>
          </w:p>
        </w:tc>
        <w:tc>
          <w:tcPr>
            <w:tcW w:w="2795" w:type="dxa"/>
            <w:tcBorders>
              <w:top w:val="single" w:color="auto" w:sz="4" w:space="0"/>
              <w:left w:val="single" w:color="auto" w:sz="4" w:space="0"/>
              <w:bottom w:val="single" w:color="auto" w:sz="4" w:space="0"/>
              <w:right w:val="single" w:color="auto" w:sz="4" w:space="0"/>
            </w:tcBorders>
          </w:tcPr>
          <w:p w14:paraId="0A73C4BD">
            <w:pPr>
              <w:spacing w:line="360" w:lineRule="auto"/>
              <w:jc w:val="center"/>
              <w:rPr>
                <w:rFonts w:hint="eastAsia" w:ascii="仿宋" w:hAnsi="仿宋" w:eastAsia="仿宋"/>
                <w:sz w:val="32"/>
                <w:szCs w:val="32"/>
              </w:rPr>
            </w:pPr>
          </w:p>
        </w:tc>
        <w:tc>
          <w:tcPr>
            <w:tcW w:w="2795" w:type="dxa"/>
            <w:tcBorders>
              <w:top w:val="single" w:color="auto" w:sz="4" w:space="0"/>
              <w:left w:val="single" w:color="auto" w:sz="4" w:space="0"/>
              <w:bottom w:val="single" w:color="auto" w:sz="4" w:space="0"/>
              <w:right w:val="single" w:color="auto" w:sz="4" w:space="0"/>
            </w:tcBorders>
          </w:tcPr>
          <w:p w14:paraId="164F362B">
            <w:pPr>
              <w:spacing w:line="360" w:lineRule="auto"/>
              <w:jc w:val="center"/>
              <w:rPr>
                <w:rFonts w:hint="eastAsia" w:ascii="仿宋" w:hAnsi="仿宋" w:eastAsia="仿宋"/>
                <w:sz w:val="32"/>
                <w:szCs w:val="32"/>
              </w:rPr>
            </w:pPr>
          </w:p>
        </w:tc>
        <w:tc>
          <w:tcPr>
            <w:tcW w:w="2795" w:type="dxa"/>
            <w:tcBorders>
              <w:top w:val="single" w:color="auto" w:sz="4" w:space="0"/>
              <w:left w:val="single" w:color="auto" w:sz="4" w:space="0"/>
              <w:bottom w:val="single" w:color="auto" w:sz="4" w:space="0"/>
              <w:right w:val="single" w:color="auto" w:sz="4" w:space="0"/>
            </w:tcBorders>
          </w:tcPr>
          <w:p w14:paraId="77DDC93D">
            <w:pPr>
              <w:spacing w:line="360" w:lineRule="auto"/>
              <w:jc w:val="center"/>
              <w:rPr>
                <w:rFonts w:hint="eastAsia" w:ascii="仿宋" w:hAnsi="仿宋" w:eastAsia="仿宋"/>
                <w:sz w:val="32"/>
                <w:szCs w:val="32"/>
              </w:rPr>
            </w:pPr>
          </w:p>
        </w:tc>
      </w:tr>
      <w:tr w14:paraId="43A4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Borders>
              <w:top w:val="single" w:color="auto" w:sz="4" w:space="0"/>
              <w:left w:val="single" w:color="auto" w:sz="4" w:space="0"/>
              <w:bottom w:val="single" w:color="auto" w:sz="4" w:space="0"/>
              <w:right w:val="single" w:color="auto" w:sz="4" w:space="0"/>
            </w:tcBorders>
          </w:tcPr>
          <w:p w14:paraId="0B311B8A">
            <w:pPr>
              <w:spacing w:line="360" w:lineRule="auto"/>
              <w:jc w:val="center"/>
              <w:rPr>
                <w:rFonts w:hint="eastAsia" w:ascii="仿宋" w:hAnsi="仿宋" w:eastAsia="仿宋"/>
                <w:sz w:val="32"/>
                <w:szCs w:val="32"/>
              </w:rPr>
            </w:pPr>
          </w:p>
        </w:tc>
        <w:tc>
          <w:tcPr>
            <w:tcW w:w="2795" w:type="dxa"/>
            <w:tcBorders>
              <w:top w:val="single" w:color="auto" w:sz="4" w:space="0"/>
              <w:left w:val="single" w:color="auto" w:sz="4" w:space="0"/>
              <w:bottom w:val="single" w:color="auto" w:sz="4" w:space="0"/>
              <w:right w:val="single" w:color="auto" w:sz="4" w:space="0"/>
            </w:tcBorders>
          </w:tcPr>
          <w:p w14:paraId="75FA43B6">
            <w:pPr>
              <w:spacing w:line="360" w:lineRule="auto"/>
              <w:jc w:val="center"/>
              <w:rPr>
                <w:rFonts w:hint="eastAsia" w:ascii="仿宋" w:hAnsi="仿宋" w:eastAsia="仿宋"/>
                <w:sz w:val="32"/>
                <w:szCs w:val="32"/>
              </w:rPr>
            </w:pPr>
          </w:p>
        </w:tc>
        <w:tc>
          <w:tcPr>
            <w:tcW w:w="2795" w:type="dxa"/>
            <w:tcBorders>
              <w:top w:val="single" w:color="auto" w:sz="4" w:space="0"/>
              <w:left w:val="single" w:color="auto" w:sz="4" w:space="0"/>
              <w:bottom w:val="single" w:color="auto" w:sz="4" w:space="0"/>
              <w:right w:val="single" w:color="auto" w:sz="4" w:space="0"/>
            </w:tcBorders>
          </w:tcPr>
          <w:p w14:paraId="1D04A15E">
            <w:pPr>
              <w:spacing w:line="360" w:lineRule="auto"/>
              <w:jc w:val="center"/>
              <w:rPr>
                <w:rFonts w:hint="eastAsia" w:ascii="仿宋" w:hAnsi="仿宋" w:eastAsia="仿宋"/>
                <w:sz w:val="32"/>
                <w:szCs w:val="32"/>
              </w:rPr>
            </w:pPr>
          </w:p>
        </w:tc>
        <w:tc>
          <w:tcPr>
            <w:tcW w:w="2795" w:type="dxa"/>
            <w:tcBorders>
              <w:top w:val="single" w:color="auto" w:sz="4" w:space="0"/>
              <w:left w:val="single" w:color="auto" w:sz="4" w:space="0"/>
              <w:bottom w:val="single" w:color="auto" w:sz="4" w:space="0"/>
              <w:right w:val="single" w:color="auto" w:sz="4" w:space="0"/>
            </w:tcBorders>
          </w:tcPr>
          <w:p w14:paraId="55AF5D8D">
            <w:pPr>
              <w:spacing w:line="360" w:lineRule="auto"/>
              <w:jc w:val="center"/>
              <w:rPr>
                <w:rFonts w:hint="eastAsia" w:ascii="仿宋" w:hAnsi="仿宋" w:eastAsia="仿宋"/>
                <w:sz w:val="32"/>
                <w:szCs w:val="32"/>
              </w:rPr>
            </w:pPr>
          </w:p>
        </w:tc>
      </w:tr>
    </w:tbl>
    <w:p w14:paraId="2521B30B">
      <w:pPr>
        <w:spacing w:line="360" w:lineRule="auto"/>
        <w:ind w:left="2" w:leftChars="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注：1.如与比选文件 “技术要求”中有偏离(包括正偏离和负偏离)，请将偏离条款逐条应答。如无偏离，则无须在此表中应答，视为默认完全响应接受比选文件“技术要求”中的所有内容，供应商不得以未作应答而拒不接受。</w:t>
      </w:r>
    </w:p>
    <w:p w14:paraId="18DE7AC6">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2.要求供应商在响应文件中提供承诺函或证明材料的应单独响应。</w:t>
      </w:r>
    </w:p>
    <w:p w14:paraId="2A18C63D">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rPr>
        <w:t>3.必须据实填写，不得虚假响应，否则将取消其成交资格。</w:t>
      </w:r>
    </w:p>
    <w:p w14:paraId="1379D081">
      <w:pPr>
        <w:spacing w:line="360" w:lineRule="auto"/>
        <w:rPr>
          <w:rStyle w:val="16"/>
          <w:rFonts w:hint="eastAsia" w:ascii="仿宋_GB2312" w:hAnsi="仿宋_GB2312" w:eastAsia="仿宋_GB2312" w:cs="仿宋_GB2312"/>
          <w:color w:val="000000"/>
          <w:sz w:val="32"/>
          <w:szCs w:val="32"/>
        </w:rPr>
      </w:pPr>
      <w:r>
        <w:rPr>
          <w:rStyle w:val="16"/>
          <w:rFonts w:hint="eastAsia" w:ascii="仿宋_GB2312" w:hAnsi="仿宋_GB2312" w:eastAsia="仿宋_GB2312" w:cs="仿宋_GB2312"/>
          <w:color w:val="000000"/>
          <w:sz w:val="32"/>
          <w:szCs w:val="32"/>
        </w:rPr>
        <w:t>采购申请人：__________________________(签字)</w:t>
      </w:r>
    </w:p>
    <w:p w14:paraId="43409D22">
      <w:pPr>
        <w:spacing w:line="360" w:lineRule="auto"/>
        <w:rPr>
          <w:rStyle w:val="16"/>
          <w:rFonts w:hint="eastAsia" w:ascii="仿宋_GB2312" w:hAnsi="仿宋_GB2312" w:eastAsia="仿宋_GB2312" w:cs="仿宋_GB2312"/>
          <w:color w:val="000000"/>
          <w:sz w:val="32"/>
          <w:szCs w:val="32"/>
        </w:rPr>
      </w:pPr>
      <w:r>
        <w:rPr>
          <w:rStyle w:val="16"/>
          <w:rFonts w:hint="eastAsia" w:ascii="仿宋_GB2312" w:hAnsi="仿宋_GB2312" w:eastAsia="仿宋_GB2312" w:cs="仿宋_GB2312"/>
          <w:color w:val="000000"/>
          <w:sz w:val="32"/>
          <w:szCs w:val="32"/>
        </w:rPr>
        <w:t>采购申请人单位：</w:t>
      </w:r>
      <w:r>
        <w:rPr>
          <w:rStyle w:val="16"/>
          <w:rFonts w:hint="eastAsia" w:ascii="仿宋_GB2312" w:hAnsi="仿宋_GB2312" w:eastAsia="仿宋_GB2312" w:cs="仿宋_GB2312"/>
          <w:color w:val="000000"/>
          <w:sz w:val="32"/>
          <w:szCs w:val="32"/>
          <w:u w:val="single" w:color="000000"/>
        </w:rPr>
        <w:t xml:space="preserve">                    </w:t>
      </w:r>
      <w:r>
        <w:rPr>
          <w:rStyle w:val="16"/>
          <w:rFonts w:hint="eastAsia" w:ascii="仿宋_GB2312" w:hAnsi="仿宋_GB2312" w:eastAsia="仿宋_GB2312" w:cs="仿宋_GB2312"/>
          <w:color w:val="000000"/>
          <w:sz w:val="32"/>
          <w:szCs w:val="32"/>
        </w:rPr>
        <w:t>（盖单位行政公章）</w:t>
      </w:r>
    </w:p>
    <w:p w14:paraId="20D90B01">
      <w:pPr>
        <w:spacing w:line="360" w:lineRule="auto"/>
        <w:rPr>
          <w:rStyle w:val="16"/>
          <w:rFonts w:hint="eastAsia" w:ascii="仿宋_GB2312" w:hAnsi="仿宋_GB2312" w:eastAsia="仿宋_GB2312" w:cs="仿宋_GB2312"/>
          <w:color w:val="000000"/>
          <w:sz w:val="32"/>
          <w:szCs w:val="32"/>
        </w:rPr>
      </w:pPr>
    </w:p>
    <w:p w14:paraId="4187DD2F">
      <w:pPr>
        <w:spacing w:line="360" w:lineRule="auto"/>
        <w:ind w:right="600" w:firstLine="4480" w:firstLineChars="1400"/>
        <w:rPr>
          <w:rStyle w:val="16"/>
          <w:rFonts w:hint="eastAsia" w:ascii="仿宋_GB2312" w:hAnsi="仿宋_GB2312" w:eastAsia="仿宋_GB2312" w:cs="仿宋_GB2312"/>
          <w:color w:val="000000"/>
          <w:sz w:val="32"/>
          <w:szCs w:val="32"/>
        </w:rPr>
      </w:pPr>
      <w:r>
        <w:rPr>
          <w:rStyle w:val="16"/>
          <w:rFonts w:hint="eastAsia" w:ascii="仿宋_GB2312" w:hAnsi="仿宋_GB2312" w:eastAsia="仿宋_GB2312" w:cs="仿宋_GB2312"/>
          <w:color w:val="000000"/>
          <w:sz w:val="32"/>
          <w:szCs w:val="32"/>
          <w:u w:val="single" w:color="000000"/>
        </w:rPr>
        <w:t xml:space="preserve">       </w:t>
      </w:r>
      <w:r>
        <w:rPr>
          <w:rStyle w:val="16"/>
          <w:rFonts w:hint="eastAsia" w:ascii="仿宋_GB2312" w:hAnsi="仿宋_GB2312" w:eastAsia="仿宋_GB2312" w:cs="仿宋_GB2312"/>
          <w:color w:val="000000"/>
          <w:sz w:val="32"/>
          <w:szCs w:val="32"/>
        </w:rPr>
        <w:t>年</w:t>
      </w:r>
      <w:r>
        <w:rPr>
          <w:rStyle w:val="16"/>
          <w:rFonts w:hint="eastAsia" w:ascii="仿宋_GB2312" w:hAnsi="仿宋_GB2312" w:eastAsia="仿宋_GB2312" w:cs="仿宋_GB2312"/>
          <w:color w:val="000000"/>
          <w:sz w:val="32"/>
          <w:szCs w:val="32"/>
          <w:u w:val="single" w:color="000000"/>
        </w:rPr>
        <w:t xml:space="preserve">   </w:t>
      </w:r>
      <w:r>
        <w:rPr>
          <w:rStyle w:val="16"/>
          <w:rFonts w:hint="eastAsia" w:ascii="仿宋_GB2312" w:hAnsi="仿宋_GB2312" w:eastAsia="仿宋_GB2312" w:cs="仿宋_GB2312"/>
          <w:color w:val="000000"/>
          <w:sz w:val="32"/>
          <w:szCs w:val="32"/>
        </w:rPr>
        <w:t>月</w:t>
      </w:r>
      <w:r>
        <w:rPr>
          <w:rStyle w:val="16"/>
          <w:rFonts w:hint="eastAsia" w:ascii="仿宋_GB2312" w:hAnsi="仿宋_GB2312" w:eastAsia="仿宋_GB2312" w:cs="仿宋_GB2312"/>
          <w:color w:val="000000"/>
          <w:sz w:val="32"/>
          <w:szCs w:val="32"/>
          <w:u w:val="single" w:color="000000"/>
        </w:rPr>
        <w:t xml:space="preserve">   </w:t>
      </w:r>
      <w:r>
        <w:rPr>
          <w:rStyle w:val="16"/>
          <w:rFonts w:hint="eastAsia" w:ascii="仿宋_GB2312" w:hAnsi="仿宋_GB2312" w:eastAsia="仿宋_GB2312" w:cs="仿宋_GB2312"/>
          <w:color w:val="000000"/>
          <w:sz w:val="32"/>
          <w:szCs w:val="32"/>
        </w:rPr>
        <w:t>日</w:t>
      </w:r>
    </w:p>
    <w:bookmarkEnd w:id="0"/>
    <w:p w14:paraId="143D3A48">
      <w:pPr>
        <w:pStyle w:val="15"/>
        <w:overflowPunct w:val="0"/>
        <w:topLinePunct/>
        <w:autoSpaceDE/>
        <w:autoSpaceDN/>
        <w:jc w:val="both"/>
      </w:pPr>
    </w:p>
    <w:sectPr>
      <w:pgSz w:w="11906" w:h="16838"/>
      <w:pgMar w:top="1440" w:right="1800" w:bottom="1440" w:left="1800"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946B2C-AECA-45D5-A21D-EF71F9F772E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embedRegular r:id="rId2" w:fontKey="{905E2B9B-AD8B-4047-8E2D-04D9ECF642C5}"/>
  </w:font>
  <w:font w:name="仿宋">
    <w:panose1 w:val="02010609060101010101"/>
    <w:charset w:val="86"/>
    <w:family w:val="modern"/>
    <w:pitch w:val="default"/>
    <w:sig w:usb0="800002BF" w:usb1="38CF7CFA" w:usb2="00000016" w:usb3="00000000" w:csb0="00040001" w:csb1="00000000"/>
    <w:embedRegular r:id="rId3" w:fontKey="{A3778298-F8A9-4AC9-A8C8-54DE44431F5A}"/>
  </w:font>
  <w:font w:name="仿宋_GB2312">
    <w:panose1 w:val="02010609030101010101"/>
    <w:charset w:val="86"/>
    <w:family w:val="modern"/>
    <w:pitch w:val="default"/>
    <w:sig w:usb0="00000001" w:usb1="080E0000" w:usb2="00000000" w:usb3="00000000" w:csb0="00040000" w:csb1="00000000"/>
    <w:embedRegular r:id="rId4" w:fontKey="{906E5E2E-F8EA-442A-81EB-6570181E31CF}"/>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5" w:fontKey="{F53732D1-C12F-4284-BE6E-DF86C6F5E9F3}"/>
  </w:font>
  <w:font w:name="方正公文黑体">
    <w:panose1 w:val="02000500000000000000"/>
    <w:charset w:val="86"/>
    <w:family w:val="auto"/>
    <w:pitch w:val="default"/>
    <w:sig w:usb0="A00002BF" w:usb1="38CF7CFA" w:usb2="00000016" w:usb3="00000000" w:csb0="00040001" w:csb1="00000000"/>
  </w:font>
  <w:font w:name="方正仿宋简体">
    <w:panose1 w:val="02000000000000000000"/>
    <w:charset w:val="86"/>
    <w:family w:val="auto"/>
    <w:pitch w:val="default"/>
    <w:sig w:usb0="00000001" w:usb1="080E0000" w:usb2="00000000" w:usb3="00000000" w:csb0="00040000" w:csb1="00000000"/>
  </w:font>
  <w:font w:name="汉仪颜楷简">
    <w:panose1 w:val="00020600040101010101"/>
    <w:charset w:val="86"/>
    <w:family w:val="auto"/>
    <w:pitch w:val="default"/>
    <w:sig w:usb0="800000EF" w:usb1="0A417C9A" w:usb2="00000016" w:usb3="00000000" w:csb0="0004009F" w:csb1="00000000"/>
  </w:font>
  <w:font w:name="方正楷体_GBK">
    <w:panose1 w:val="02000000000000000000"/>
    <w:charset w:val="86"/>
    <w:family w:val="auto"/>
    <w:pitch w:val="default"/>
    <w:sig w:usb0="800002BF" w:usb1="38CF7CFA" w:usb2="00000016" w:usb3="00000000" w:csb0="00040000" w:csb1="00000000"/>
  </w:font>
  <w:font w:name="汉仪细秀体简 L">
    <w:panose1 w:val="00020600040101010101"/>
    <w:charset w:val="86"/>
    <w:family w:val="auto"/>
    <w:pitch w:val="default"/>
    <w:sig w:usb0="A00002BF" w:usb1="18EF7CFA" w:usb2="00000016" w:usb3="00000000" w:csb0="00040000" w:csb1="00000000"/>
  </w:font>
  <w:font w:name="方正仿宋_GB2312">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EB613">
    <w:pPr>
      <w:pStyle w:val="8"/>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29F4CF0">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046BA">
    <w:pPr>
      <w:pStyle w:val="8"/>
    </w:pPr>
    <w:r>
      <w:rPr>
        <w:sz w:val="18"/>
      </w:rP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7821AA1">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lhOGVhNTQ5MDJkM2E5N2FmOTk0YjUyZGEyZTE4MDIifQ=="/>
  </w:docVars>
  <w:rsids>
    <w:rsidRoot w:val="05E10BA4"/>
    <w:rsid w:val="00015372"/>
    <w:rsid w:val="000926DC"/>
    <w:rsid w:val="000C0694"/>
    <w:rsid w:val="000E122F"/>
    <w:rsid w:val="001704E8"/>
    <w:rsid w:val="001C2588"/>
    <w:rsid w:val="001C75AB"/>
    <w:rsid w:val="0027538D"/>
    <w:rsid w:val="002918B7"/>
    <w:rsid w:val="00316D5F"/>
    <w:rsid w:val="00323C90"/>
    <w:rsid w:val="00356007"/>
    <w:rsid w:val="00375CC7"/>
    <w:rsid w:val="003E4F24"/>
    <w:rsid w:val="00414A7B"/>
    <w:rsid w:val="00437700"/>
    <w:rsid w:val="0047370D"/>
    <w:rsid w:val="00496009"/>
    <w:rsid w:val="004D270D"/>
    <w:rsid w:val="005443ED"/>
    <w:rsid w:val="00562F51"/>
    <w:rsid w:val="00601754"/>
    <w:rsid w:val="006E006B"/>
    <w:rsid w:val="007059C6"/>
    <w:rsid w:val="00716239"/>
    <w:rsid w:val="0074753C"/>
    <w:rsid w:val="00750EFB"/>
    <w:rsid w:val="007630D1"/>
    <w:rsid w:val="007637A0"/>
    <w:rsid w:val="00777004"/>
    <w:rsid w:val="007C5A70"/>
    <w:rsid w:val="007D0D9B"/>
    <w:rsid w:val="007F0E11"/>
    <w:rsid w:val="0082311F"/>
    <w:rsid w:val="008439F9"/>
    <w:rsid w:val="00863A75"/>
    <w:rsid w:val="00897F52"/>
    <w:rsid w:val="008E4F65"/>
    <w:rsid w:val="008F671D"/>
    <w:rsid w:val="00917C7A"/>
    <w:rsid w:val="00A96E48"/>
    <w:rsid w:val="00B20EB4"/>
    <w:rsid w:val="00B479AF"/>
    <w:rsid w:val="00B86F88"/>
    <w:rsid w:val="00BA5B1F"/>
    <w:rsid w:val="00C0738E"/>
    <w:rsid w:val="00C96B4E"/>
    <w:rsid w:val="00CE0471"/>
    <w:rsid w:val="00D328A5"/>
    <w:rsid w:val="00D92078"/>
    <w:rsid w:val="00DB16BF"/>
    <w:rsid w:val="00DB6BEE"/>
    <w:rsid w:val="00DD4980"/>
    <w:rsid w:val="00E1414E"/>
    <w:rsid w:val="00E3307A"/>
    <w:rsid w:val="00E67820"/>
    <w:rsid w:val="00EA5810"/>
    <w:rsid w:val="00FB10BA"/>
    <w:rsid w:val="00FB3F1A"/>
    <w:rsid w:val="00FD087D"/>
    <w:rsid w:val="021C1A07"/>
    <w:rsid w:val="05E10BA4"/>
    <w:rsid w:val="09136F31"/>
    <w:rsid w:val="0B0F11CC"/>
    <w:rsid w:val="0FC55B35"/>
    <w:rsid w:val="122B1244"/>
    <w:rsid w:val="15210318"/>
    <w:rsid w:val="1600524F"/>
    <w:rsid w:val="17703557"/>
    <w:rsid w:val="179F31FE"/>
    <w:rsid w:val="17C427C2"/>
    <w:rsid w:val="18FF648E"/>
    <w:rsid w:val="19BC2DB2"/>
    <w:rsid w:val="1C220782"/>
    <w:rsid w:val="22CA5037"/>
    <w:rsid w:val="258B55EA"/>
    <w:rsid w:val="2CC42FEA"/>
    <w:rsid w:val="2F4D44EF"/>
    <w:rsid w:val="322425CE"/>
    <w:rsid w:val="333E32EE"/>
    <w:rsid w:val="38956F01"/>
    <w:rsid w:val="40291322"/>
    <w:rsid w:val="43BE6733"/>
    <w:rsid w:val="44B96E47"/>
    <w:rsid w:val="48A4239B"/>
    <w:rsid w:val="48C12F4D"/>
    <w:rsid w:val="4CBF3FBC"/>
    <w:rsid w:val="4E6C0A7F"/>
    <w:rsid w:val="5F7355AD"/>
    <w:rsid w:val="667A42E4"/>
    <w:rsid w:val="751C08FE"/>
    <w:rsid w:val="7A623463"/>
    <w:rsid w:val="7C540886"/>
    <w:rsid w:val="7D90280C"/>
    <w:rsid w:val="7E9717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5"/>
    <w:qFormat/>
    <w:uiPriority w:val="0"/>
    <w:pPr>
      <w:keepNext/>
      <w:keepLines/>
      <w:spacing w:before="260" w:after="260" w:line="416"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ind w:left="900"/>
    </w:pPr>
    <w:rPr>
      <w:sz w:val="28"/>
      <w:szCs w:val="28"/>
    </w:rPr>
  </w:style>
  <w:style w:type="paragraph" w:styleId="5">
    <w:name w:val="Normal Indent"/>
    <w:basedOn w:val="1"/>
    <w:qFormat/>
    <w:uiPriority w:val="0"/>
    <w:pPr>
      <w:ind w:firstLine="420" w:firstLineChars="200"/>
    </w:pPr>
  </w:style>
  <w:style w:type="paragraph" w:styleId="6">
    <w:name w:val="Body Text Indent"/>
    <w:basedOn w:val="1"/>
    <w:qFormat/>
    <w:uiPriority w:val="0"/>
    <w:pPr>
      <w:spacing w:after="120"/>
      <w:ind w:left="420" w:leftChars="200"/>
    </w:pPr>
  </w:style>
  <w:style w:type="paragraph" w:styleId="7">
    <w:name w:val="Date"/>
    <w:basedOn w:val="1"/>
    <w:next w:val="1"/>
    <w:unhideWhenUsed/>
    <w:qFormat/>
    <w:uiPriority w:val="0"/>
    <w:pPr>
      <w:widowControl/>
      <w:ind w:left="2500" w:leftChars="2500"/>
    </w:pPr>
    <w:rPr>
      <w:rFonts w:ascii="Times New Roman" w:hAnsi="Times New Roman" w:eastAsia="黑体" w:cs="Times New Roman"/>
      <w:kern w:val="0"/>
      <w:sz w:val="32"/>
    </w:rPr>
  </w:style>
  <w:style w:type="paragraph" w:styleId="8">
    <w:name w:val="footer"/>
    <w:basedOn w:val="1"/>
    <w:link w:val="22"/>
    <w:qFormat/>
    <w:uiPriority w:val="0"/>
    <w:pPr>
      <w:tabs>
        <w:tab w:val="center" w:pos="4153"/>
        <w:tab w:val="right" w:pos="8306"/>
      </w:tabs>
      <w:snapToGrid w:val="0"/>
      <w:jc w:val="left"/>
    </w:pPr>
    <w:rPr>
      <w:sz w:val="18"/>
      <w:szCs w:val="18"/>
    </w:rPr>
  </w:style>
  <w:style w:type="paragraph" w:styleId="9">
    <w:name w:val="header"/>
    <w:basedOn w:val="1"/>
    <w:link w:val="21"/>
    <w:qFormat/>
    <w:uiPriority w:val="0"/>
    <w:pP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2"/>
    <w:basedOn w:val="6"/>
    <w:next w:val="1"/>
    <w:qFormat/>
    <w:uiPriority w:val="0"/>
    <w:pPr>
      <w:ind w:firstLine="420" w:firstLineChars="200"/>
    </w:pPr>
    <w:rPr>
      <w:rFonts w:ascii="Times New Roman" w:hAnsi="Times New Roman" w:eastAsia="宋体" w:cs="Times New Roman"/>
      <w:szCs w:val="20"/>
    </w:rPr>
  </w:style>
  <w:style w:type="table" w:styleId="13">
    <w:name w:val="Table Grid"/>
    <w:basedOn w:val="12"/>
    <w:uiPriority w:val="39"/>
    <w:rPr>
      <w:rFonts w:asciiTheme="minorHAnsi" w:hAnsiTheme="minorHAnsi" w:eastAsiaTheme="minorEastAsia" w:cstheme="minorBidi"/>
      <w:kern w:val="2"/>
      <w:sz w:val="22"/>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pPr>
    <w:rPr>
      <w:rFonts w:ascii="Calibri" w:hAnsi="Calibri" w:eastAsia="宋体" w:cs="宋体"/>
      <w:color w:val="000000"/>
      <w:sz w:val="24"/>
      <w:szCs w:val="24"/>
      <w:lang w:val="en-US" w:eastAsia="zh-CN" w:bidi="ar-SA"/>
    </w:rPr>
  </w:style>
  <w:style w:type="character" w:customStyle="1" w:styleId="16">
    <w:name w:val="NormalCharacter"/>
    <w:qFormat/>
    <w:uiPriority w:val="0"/>
    <w:rPr>
      <w:rFonts w:hint="default" w:ascii="Tahoma" w:hAnsi="Tahoma" w:cs="Tahoma"/>
      <w:sz w:val="24"/>
      <w:szCs w:val="24"/>
    </w:rPr>
  </w:style>
  <w:style w:type="paragraph" w:customStyle="1" w:styleId="17">
    <w:name w:val="Heading1"/>
    <w:basedOn w:val="1"/>
    <w:next w:val="1"/>
    <w:qFormat/>
    <w:uiPriority w:val="0"/>
    <w:pPr>
      <w:keepNext/>
      <w:keepLines/>
      <w:widowControl/>
      <w:spacing w:before="340" w:after="330" w:line="576" w:lineRule="auto"/>
    </w:pPr>
    <w:rPr>
      <w:rFonts w:ascii="Tahoma" w:hAnsi="Tahoma" w:eastAsia="宋体" w:cs="Times New Roman"/>
      <w:kern w:val="44"/>
      <w:sz w:val="44"/>
      <w:szCs w:val="44"/>
    </w:rPr>
  </w:style>
  <w:style w:type="paragraph" w:customStyle="1" w:styleId="18">
    <w:name w:val="标题2"/>
    <w:basedOn w:val="1"/>
    <w:qFormat/>
    <w:uiPriority w:val="0"/>
    <w:pPr>
      <w:spacing w:line="360" w:lineRule="auto"/>
      <w:ind w:firstLine="560" w:firstLineChars="200"/>
      <w:jc w:val="left"/>
      <w:outlineLvl w:val="2"/>
    </w:pPr>
    <w:rPr>
      <w:rFonts w:ascii="仿宋" w:hAnsi="仿宋" w:eastAsia="仿宋" w:cs="Times New Roman"/>
      <w:bCs/>
      <w:sz w:val="28"/>
      <w:szCs w:val="28"/>
      <w:lang w:val="zh-CN"/>
    </w:rPr>
  </w:style>
  <w:style w:type="paragraph" w:customStyle="1" w:styleId="19">
    <w:name w:val="p0"/>
    <w:basedOn w:val="1"/>
    <w:unhideWhenUsed/>
    <w:qFormat/>
    <w:uiPriority w:val="0"/>
    <w:pPr>
      <w:widowControl/>
    </w:pPr>
    <w:rPr>
      <w:rFonts w:hint="eastAsia" w:ascii="Times New Roman" w:hAnsi="Times New Roman" w:eastAsia="宋体" w:cs="Times New Roman"/>
      <w:sz w:val="28"/>
      <w:szCs w:val="20"/>
    </w:rPr>
  </w:style>
  <w:style w:type="paragraph" w:customStyle="1" w:styleId="20">
    <w:name w:val="UserStyle_13"/>
    <w:qFormat/>
    <w:uiPriority w:val="0"/>
    <w:rPr>
      <w:rFonts w:ascii="宋体" w:hAnsi="宋体" w:eastAsia="宋体" w:cs="Times New Roman"/>
      <w:sz w:val="24"/>
      <w:szCs w:val="24"/>
      <w:lang w:val="en-US" w:eastAsia="zh-CN" w:bidi="ar-SA"/>
    </w:rPr>
  </w:style>
  <w:style w:type="character" w:customStyle="1" w:styleId="21">
    <w:name w:val="页眉 字符"/>
    <w:basedOn w:val="14"/>
    <w:link w:val="9"/>
    <w:qFormat/>
    <w:uiPriority w:val="0"/>
    <w:rPr>
      <w:rFonts w:asciiTheme="minorHAnsi" w:hAnsiTheme="minorHAnsi" w:eastAsiaTheme="minorEastAsia" w:cstheme="minorBidi"/>
      <w:kern w:val="2"/>
      <w:sz w:val="18"/>
      <w:szCs w:val="18"/>
    </w:rPr>
  </w:style>
  <w:style w:type="character" w:customStyle="1" w:styleId="22">
    <w:name w:val="页脚 字符"/>
    <w:basedOn w:val="14"/>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3" textRotate="1"/>
    <customShpInfo spid="_x0000_s3074"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775</Words>
  <Characters>821</Characters>
  <Lines>161</Lines>
  <Paragraphs>168</Paragraphs>
  <TotalTime>5</TotalTime>
  <ScaleCrop>false</ScaleCrop>
  <LinksUpToDate>false</LinksUpToDate>
  <CharactersWithSpaces>824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2024-11-04T03:25:00Z</dcterms:created>
  <dc:creator>老邓1393554840</dc:creator>
  <cp:lastModifiedBy>小杜</cp:lastModifiedBy>
  <cp:lastPrinted>2025-07-14T07:33:00Z</cp:lastPrinted>
  <dcterms:modified xsi:type="dcterms:W3CDTF">2025-07-31T02:36:35Z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B3ACD56ED27D4A07B0413CD4F10A1539_13</vt:lpwstr>
  </property>
  <property fmtid="{D5CDD505-2E9C-101B-9397-08002B2CF9AE}" pid="4" name="KSOTemplateDocerSaveRecord">
    <vt:lpwstr>eyJoZGlkIjoiMzJjYzRkNTgyZDM5ZDZkZDE2YzUzZGZjMTM5N2E4MDciLCJ1c2VySWQiOiIzNDYyNzgxNDQifQ==</vt:lpwstr>
  </property>
</Properties>
</file>