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topLinePunct/>
        <w:adjustRightInd w:val="0"/>
        <w:snapToGrid w:val="0"/>
        <w:spacing w:line="620" w:lineRule="exact"/>
        <w:jc w:val="center"/>
        <w:rPr>
          <w:rFonts w:eastAsia="方正小标宋简体"/>
          <w:bCs/>
          <w:spacing w:val="0"/>
          <w:sz w:val="44"/>
          <w:szCs w:val="44"/>
        </w:rPr>
      </w:pPr>
      <w:r>
        <w:rPr>
          <w:rFonts w:eastAsia="方正小标宋简体"/>
          <w:bCs/>
          <w:spacing w:val="0"/>
          <w:sz w:val="44"/>
          <w:szCs w:val="44"/>
        </w:rPr>
        <w:t>四川省农村生活污水处理设施运行维护</w:t>
      </w:r>
    </w:p>
    <w:p>
      <w:pPr>
        <w:overflowPunct w:val="0"/>
        <w:topLinePunct/>
        <w:adjustRightInd w:val="0"/>
        <w:snapToGrid w:val="0"/>
        <w:spacing w:line="620" w:lineRule="exact"/>
        <w:jc w:val="center"/>
        <w:rPr>
          <w:rFonts w:eastAsia="方正小标宋简体"/>
          <w:bCs/>
          <w:spacing w:val="0"/>
          <w:sz w:val="44"/>
          <w:szCs w:val="44"/>
        </w:rPr>
      </w:pPr>
      <w:r>
        <w:rPr>
          <w:rFonts w:eastAsia="方正小标宋简体"/>
          <w:bCs/>
          <w:spacing w:val="0"/>
          <w:sz w:val="44"/>
          <w:szCs w:val="44"/>
        </w:rPr>
        <w:t>管理办法</w:t>
      </w:r>
    </w:p>
    <w:p>
      <w:pPr>
        <w:overflowPunct w:val="0"/>
        <w:topLinePunct/>
        <w:adjustRightInd w:val="0"/>
        <w:snapToGrid w:val="0"/>
        <w:spacing w:line="620" w:lineRule="exact"/>
        <w:ind w:firstLine="641"/>
        <w:rPr>
          <w:spacing w:val="0"/>
          <w:sz w:val="36"/>
          <w:szCs w:val="32"/>
        </w:rPr>
      </w:pPr>
    </w:p>
    <w:p>
      <w:pPr>
        <w:overflowPunct w:val="0"/>
        <w:topLinePunct/>
        <w:adjustRightInd w:val="0"/>
        <w:snapToGrid w:val="0"/>
        <w:spacing w:line="600" w:lineRule="exact"/>
        <w:jc w:val="center"/>
        <w:outlineLvl w:val="0"/>
        <w:rPr>
          <w:rFonts w:eastAsia="黑体"/>
          <w:spacing w:val="0"/>
        </w:rPr>
      </w:pPr>
      <w:r>
        <w:rPr>
          <w:rFonts w:hint="eastAsia" w:eastAsia="黑体"/>
          <w:spacing w:val="0"/>
        </w:rPr>
        <w:t>第一章</w:t>
      </w:r>
      <w:r>
        <w:rPr>
          <w:rFonts w:eastAsia="黑体"/>
          <w:spacing w:val="0"/>
        </w:rPr>
        <w:t xml:space="preserve">  </w:t>
      </w:r>
      <w:r>
        <w:rPr>
          <w:rFonts w:hint="eastAsia" w:eastAsia="黑体"/>
          <w:spacing w:val="0"/>
        </w:rPr>
        <w:t>总</w:t>
      </w:r>
      <w:r>
        <w:rPr>
          <w:rFonts w:eastAsia="黑体"/>
          <w:spacing w:val="0"/>
        </w:rPr>
        <w:t xml:space="preserve">  </w:t>
      </w:r>
      <w:r>
        <w:rPr>
          <w:rFonts w:hint="eastAsia" w:eastAsia="黑体"/>
          <w:spacing w:val="0"/>
        </w:rPr>
        <w:t>则</w:t>
      </w:r>
      <w:bookmarkStart w:id="0" w:name="_GoBack"/>
      <w:bookmarkEnd w:id="0"/>
    </w:p>
    <w:p>
      <w:pPr>
        <w:overflowPunct w:val="0"/>
        <w:topLinePunct/>
        <w:adjustRightInd w:val="0"/>
        <w:snapToGrid w:val="0"/>
        <w:spacing w:line="600" w:lineRule="exact"/>
        <w:ind w:firstLine="642" w:firstLineChars="200"/>
        <w:outlineLvl w:val="1"/>
        <w:rPr>
          <w:spacing w:val="0"/>
          <w:szCs w:val="32"/>
        </w:rPr>
      </w:pPr>
      <w:r>
        <w:rPr>
          <w:rFonts w:hint="eastAsia" w:eastAsia="楷体_GB2312"/>
          <w:b/>
          <w:spacing w:val="0"/>
        </w:rPr>
        <w:t>第一条</w:t>
      </w:r>
      <w:r>
        <w:rPr>
          <w:spacing w:val="0"/>
          <w:szCs w:val="32"/>
        </w:rPr>
        <w:t xml:space="preserve"> </w:t>
      </w:r>
      <w:r>
        <w:rPr>
          <w:rFonts w:hint="eastAsia"/>
          <w:spacing w:val="0"/>
          <w:szCs w:val="32"/>
        </w:rPr>
        <w:t>为规范和加强全省农村生活污水处理设施运维管理，保障处理设施正常运行，扎实推进乡村建设行动，建设宜居宜业和美乡村，促进乡村生态振兴，根据有关法律、法规及文件</w:t>
      </w:r>
      <w:r>
        <w:rPr>
          <w:spacing w:val="0"/>
          <w:szCs w:val="32"/>
        </w:rPr>
        <w:t>规定</w:t>
      </w:r>
      <w:r>
        <w:rPr>
          <w:rFonts w:hint="eastAsia"/>
          <w:spacing w:val="0"/>
          <w:szCs w:val="32"/>
        </w:rPr>
        <w:t>，结合工作实际，制定本办法。</w:t>
      </w:r>
    </w:p>
    <w:p>
      <w:pPr>
        <w:overflowPunct w:val="0"/>
        <w:topLinePunct/>
        <w:adjustRightInd w:val="0"/>
        <w:snapToGrid w:val="0"/>
        <w:spacing w:line="600" w:lineRule="exact"/>
        <w:ind w:firstLine="642" w:firstLineChars="200"/>
        <w:outlineLvl w:val="1"/>
        <w:rPr>
          <w:spacing w:val="0"/>
          <w:szCs w:val="32"/>
        </w:rPr>
      </w:pPr>
      <w:r>
        <w:rPr>
          <w:rFonts w:hint="eastAsia" w:eastAsia="楷体_GB2312"/>
          <w:b/>
          <w:spacing w:val="0"/>
        </w:rPr>
        <w:t>第二条</w:t>
      </w:r>
      <w:r>
        <w:rPr>
          <w:spacing w:val="0"/>
          <w:szCs w:val="32"/>
        </w:rPr>
        <w:t xml:space="preserve"> </w:t>
      </w:r>
      <w:r>
        <w:rPr>
          <w:rFonts w:hint="eastAsia"/>
          <w:spacing w:val="0"/>
          <w:szCs w:val="32"/>
        </w:rPr>
        <w:t>本办法适用于全省行政区域内农村生活污水处理设施的运维和监督管理。</w:t>
      </w:r>
    </w:p>
    <w:p>
      <w:pPr>
        <w:overflowPunct w:val="0"/>
        <w:topLinePunct/>
        <w:adjustRightInd w:val="0"/>
        <w:snapToGrid w:val="0"/>
        <w:spacing w:line="600" w:lineRule="exact"/>
        <w:ind w:firstLine="642" w:firstLineChars="200"/>
        <w:outlineLvl w:val="1"/>
        <w:rPr>
          <w:spacing w:val="0"/>
          <w:szCs w:val="32"/>
        </w:rPr>
      </w:pPr>
      <w:r>
        <w:rPr>
          <w:rFonts w:hint="eastAsia" w:eastAsia="楷体_GB2312"/>
          <w:b/>
          <w:spacing w:val="0"/>
        </w:rPr>
        <w:t>第三条</w:t>
      </w:r>
      <w:r>
        <w:rPr>
          <w:spacing w:val="0"/>
          <w:szCs w:val="32"/>
        </w:rPr>
        <w:t xml:space="preserve"> </w:t>
      </w:r>
      <w:r>
        <w:rPr>
          <w:rFonts w:hint="eastAsia"/>
          <w:spacing w:val="0"/>
          <w:szCs w:val="32"/>
        </w:rPr>
        <w:t>本办法所称农村，是指城镇建成区以外具有自然、社会、经济特征和生产、生活、生态、文化等多重功能的地域综合体。</w:t>
      </w:r>
    </w:p>
    <w:p>
      <w:pPr>
        <w:overflowPunct w:val="0"/>
        <w:topLinePunct/>
        <w:adjustRightInd w:val="0"/>
        <w:snapToGrid w:val="0"/>
        <w:spacing w:line="600" w:lineRule="exact"/>
        <w:ind w:firstLine="640" w:firstLineChars="200"/>
        <w:rPr>
          <w:spacing w:val="0"/>
          <w:szCs w:val="32"/>
        </w:rPr>
      </w:pPr>
      <w:r>
        <w:rPr>
          <w:rFonts w:hint="eastAsia"/>
          <w:spacing w:val="0"/>
          <w:szCs w:val="32"/>
        </w:rPr>
        <w:t>本办法所称农村生活污水，是指农村居民生活活动所产生的污水，主要包括冲厕、洗涤、洗浴和厨房等排水。</w:t>
      </w:r>
    </w:p>
    <w:p>
      <w:pPr>
        <w:overflowPunct w:val="0"/>
        <w:topLinePunct/>
        <w:adjustRightInd w:val="0"/>
        <w:snapToGrid w:val="0"/>
        <w:spacing w:line="600" w:lineRule="exact"/>
        <w:ind w:firstLine="640" w:firstLineChars="200"/>
        <w:rPr>
          <w:spacing w:val="0"/>
          <w:szCs w:val="32"/>
        </w:rPr>
      </w:pPr>
      <w:r>
        <w:rPr>
          <w:rFonts w:hint="eastAsia"/>
          <w:spacing w:val="0"/>
          <w:szCs w:val="32"/>
        </w:rPr>
        <w:t>本办法所称农村生活污水处理设施，是指对农村生活污水进行收集处理的建筑物、构筑物及设备，包括污水收集系统、预处理设施、生态处理设施、生物处理设施及其他附属设施。</w:t>
      </w:r>
    </w:p>
    <w:p>
      <w:pPr>
        <w:overflowPunct w:val="0"/>
        <w:topLinePunct/>
        <w:adjustRightInd w:val="0"/>
        <w:snapToGrid w:val="0"/>
        <w:spacing w:line="600" w:lineRule="exact"/>
        <w:ind w:firstLine="642" w:firstLineChars="200"/>
        <w:outlineLvl w:val="1"/>
        <w:rPr>
          <w:spacing w:val="0"/>
          <w:szCs w:val="32"/>
        </w:rPr>
      </w:pPr>
      <w:r>
        <w:rPr>
          <w:rFonts w:eastAsia="楷体_GB2312"/>
          <w:b/>
          <w:spacing w:val="0"/>
        </w:rPr>
        <w:t>第</w:t>
      </w:r>
      <w:r>
        <w:rPr>
          <w:rFonts w:hint="eastAsia" w:eastAsia="楷体_GB2312"/>
          <w:b/>
          <w:spacing w:val="0"/>
        </w:rPr>
        <w:t>四</w:t>
      </w:r>
      <w:r>
        <w:rPr>
          <w:rFonts w:eastAsia="楷体_GB2312"/>
          <w:b/>
          <w:spacing w:val="0"/>
        </w:rPr>
        <w:t>条</w:t>
      </w:r>
      <w:r>
        <w:rPr>
          <w:rFonts w:hint="eastAsia" w:eastAsia="楷体_GB2312"/>
          <w:spacing w:val="0"/>
        </w:rPr>
        <w:t xml:space="preserve"> </w:t>
      </w:r>
      <w:r>
        <w:rPr>
          <w:rFonts w:hint="eastAsia"/>
          <w:spacing w:val="0"/>
          <w:szCs w:val="32"/>
        </w:rPr>
        <w:t>严格限制农村生活污水处理设施进水种类</w:t>
      </w:r>
      <w:r>
        <w:rPr>
          <w:spacing w:val="0"/>
          <w:szCs w:val="32"/>
        </w:rPr>
        <w:t>。</w:t>
      </w:r>
      <w:r>
        <w:rPr>
          <w:rFonts w:hint="eastAsia"/>
          <w:spacing w:val="0"/>
          <w:szCs w:val="32"/>
        </w:rPr>
        <w:t>民宿及农村餐饮业产生的污水经论证达到相关要求后，可进入农村生活污水处理设施，工业废水等</w:t>
      </w:r>
      <w:r>
        <w:rPr>
          <w:spacing w:val="0"/>
          <w:szCs w:val="32"/>
        </w:rPr>
        <w:t>非生活污水</w:t>
      </w:r>
      <w:r>
        <w:rPr>
          <w:rFonts w:hint="eastAsia"/>
          <w:spacing w:val="0"/>
          <w:szCs w:val="32"/>
        </w:rPr>
        <w:t>不得进入农村生活污水处理设施。</w:t>
      </w:r>
    </w:p>
    <w:p>
      <w:pPr>
        <w:overflowPunct w:val="0"/>
        <w:topLinePunct/>
        <w:adjustRightInd w:val="0"/>
        <w:snapToGrid w:val="0"/>
        <w:spacing w:line="600" w:lineRule="exact"/>
        <w:ind w:firstLine="642" w:firstLineChars="200"/>
        <w:outlineLvl w:val="1"/>
        <w:rPr>
          <w:rFonts w:ascii="仿宋_GB2312"/>
          <w:spacing w:val="0"/>
          <w:szCs w:val="32"/>
        </w:rPr>
      </w:pPr>
      <w:r>
        <w:rPr>
          <w:rFonts w:hint="eastAsia" w:eastAsia="楷体_GB2312"/>
          <w:b/>
          <w:spacing w:val="0"/>
          <w:szCs w:val="32"/>
        </w:rPr>
        <w:t>第五条</w:t>
      </w:r>
      <w:r>
        <w:rPr>
          <w:spacing w:val="0"/>
          <w:szCs w:val="32"/>
        </w:rPr>
        <w:t xml:space="preserve"> </w:t>
      </w:r>
      <w:r>
        <w:rPr>
          <w:rFonts w:hint="eastAsia"/>
          <w:spacing w:val="0"/>
          <w:szCs w:val="32"/>
        </w:rPr>
        <w:t>农村生活污水处理设施运维管理</w:t>
      </w:r>
      <w:r>
        <w:rPr>
          <w:rFonts w:hint="eastAsia" w:ascii="仿宋_GB2312"/>
          <w:spacing w:val="0"/>
          <w:szCs w:val="32"/>
        </w:rPr>
        <w:t>坚持“政府主导、群众参与，属地为主、规范管理，因地制宜、注重实效”原则，实现“设施完好、运行稳定、水质达标、效益持续”目标。</w:t>
      </w:r>
    </w:p>
    <w:p>
      <w:pPr>
        <w:overflowPunct w:val="0"/>
        <w:topLinePunct/>
        <w:adjustRightInd w:val="0"/>
        <w:snapToGrid w:val="0"/>
        <w:spacing w:line="600" w:lineRule="exact"/>
        <w:ind w:firstLine="641"/>
        <w:rPr>
          <w:spacing w:val="0"/>
          <w:szCs w:val="32"/>
        </w:rPr>
      </w:pPr>
    </w:p>
    <w:p>
      <w:pPr>
        <w:overflowPunct w:val="0"/>
        <w:topLinePunct/>
        <w:adjustRightInd w:val="0"/>
        <w:snapToGrid w:val="0"/>
        <w:spacing w:line="600" w:lineRule="exact"/>
        <w:jc w:val="center"/>
        <w:outlineLvl w:val="0"/>
        <w:rPr>
          <w:rFonts w:eastAsia="黑体"/>
          <w:spacing w:val="0"/>
        </w:rPr>
      </w:pPr>
      <w:r>
        <w:rPr>
          <w:rFonts w:hint="eastAsia" w:eastAsia="黑体"/>
          <w:spacing w:val="0"/>
        </w:rPr>
        <w:t>第二章</w:t>
      </w:r>
      <w:r>
        <w:rPr>
          <w:rFonts w:eastAsia="黑体"/>
          <w:spacing w:val="0"/>
        </w:rPr>
        <w:t xml:space="preserve">  </w:t>
      </w:r>
      <w:r>
        <w:rPr>
          <w:rFonts w:hint="eastAsia" w:eastAsia="黑体"/>
          <w:spacing w:val="0"/>
        </w:rPr>
        <w:t>职责分工</w:t>
      </w:r>
    </w:p>
    <w:p>
      <w:pPr>
        <w:overflowPunct w:val="0"/>
        <w:topLinePunct/>
        <w:adjustRightInd w:val="0"/>
        <w:snapToGrid w:val="0"/>
        <w:spacing w:line="600" w:lineRule="exact"/>
        <w:ind w:firstLine="643"/>
        <w:outlineLvl w:val="1"/>
        <w:rPr>
          <w:rFonts w:eastAsia="黑体"/>
          <w:spacing w:val="0"/>
        </w:rPr>
      </w:pPr>
      <w:r>
        <w:rPr>
          <w:rFonts w:hint="eastAsia" w:eastAsia="楷体_GB2312"/>
          <w:b/>
          <w:spacing w:val="0"/>
        </w:rPr>
        <w:t>第六条</w:t>
      </w:r>
      <w:r>
        <w:rPr>
          <w:spacing w:val="0"/>
          <w:szCs w:val="32"/>
        </w:rPr>
        <w:t xml:space="preserve"> </w:t>
      </w:r>
      <w:r>
        <w:rPr>
          <w:rFonts w:hint="eastAsia"/>
          <w:spacing w:val="0"/>
          <w:szCs w:val="32"/>
        </w:rPr>
        <w:t>县（市、区）人民政府应落实《中华人民共和国环境保护法》有关规定，履行农村生活污水处理设施运维管理主体责任，明确县（市、区）农村生活污水处理设施运维主管部门、运维管理模式及运维单位，建立设施运维管理协调机制，保障运维管理经费，制定农村生活污水处理设施运行维护管理办法，明确农村生活污水处理设施运行维护职责，探索建立农村生活污水处理收费机制。</w:t>
      </w:r>
    </w:p>
    <w:p>
      <w:pPr>
        <w:overflowPunct w:val="0"/>
        <w:topLinePunct/>
        <w:adjustRightInd w:val="0"/>
        <w:snapToGrid w:val="0"/>
        <w:spacing w:line="600" w:lineRule="exact"/>
        <w:ind w:firstLine="643"/>
        <w:outlineLvl w:val="1"/>
        <w:rPr>
          <w:spacing w:val="0"/>
          <w:szCs w:val="32"/>
        </w:rPr>
      </w:pPr>
      <w:r>
        <w:rPr>
          <w:rFonts w:hint="eastAsia" w:eastAsia="楷体_GB2312"/>
          <w:b/>
          <w:spacing w:val="0"/>
        </w:rPr>
        <w:t>第七条</w:t>
      </w:r>
      <w:r>
        <w:rPr>
          <w:b/>
          <w:spacing w:val="0"/>
          <w:szCs w:val="32"/>
        </w:rPr>
        <w:t xml:space="preserve"> </w:t>
      </w:r>
      <w:r>
        <w:rPr>
          <w:rFonts w:hint="eastAsia"/>
          <w:spacing w:val="0"/>
          <w:szCs w:val="32"/>
        </w:rPr>
        <w:t>生态环境厅会同农业农村厅、住房城乡建设厅和</w:t>
      </w:r>
      <w:r>
        <w:rPr>
          <w:spacing w:val="0"/>
          <w:szCs w:val="32"/>
        </w:rPr>
        <w:t>水利厅</w:t>
      </w:r>
      <w:r>
        <w:rPr>
          <w:rFonts w:hint="eastAsia"/>
          <w:spacing w:val="0"/>
          <w:szCs w:val="32"/>
        </w:rPr>
        <w:t>负责全省农村生活污水处理设施运维管理的指导工作。</w:t>
      </w:r>
    </w:p>
    <w:p>
      <w:pPr>
        <w:overflowPunct w:val="0"/>
        <w:topLinePunct/>
        <w:adjustRightInd w:val="0"/>
        <w:snapToGrid w:val="0"/>
        <w:spacing w:line="600" w:lineRule="exact"/>
        <w:ind w:firstLine="641"/>
        <w:rPr>
          <w:spacing w:val="0"/>
          <w:szCs w:val="32"/>
        </w:rPr>
      </w:pPr>
      <w:r>
        <w:rPr>
          <w:rFonts w:hint="eastAsia"/>
          <w:spacing w:val="0"/>
          <w:szCs w:val="32"/>
        </w:rPr>
        <w:t>省发展改革委负责落实污水处理设施用电优惠政策，指导有条件的地区探索建立农村生活污水处理收费机制。</w:t>
      </w:r>
    </w:p>
    <w:p>
      <w:pPr>
        <w:overflowPunct w:val="0"/>
        <w:topLinePunct/>
        <w:adjustRightInd w:val="0"/>
        <w:snapToGrid w:val="0"/>
        <w:spacing w:line="600" w:lineRule="exact"/>
        <w:ind w:firstLine="641"/>
        <w:rPr>
          <w:spacing w:val="0"/>
          <w:szCs w:val="32"/>
        </w:rPr>
      </w:pPr>
      <w:r>
        <w:rPr>
          <w:rFonts w:hint="eastAsia"/>
          <w:spacing w:val="0"/>
          <w:szCs w:val="32"/>
        </w:rPr>
        <w:t>财政厅负责指导县（市、区）建立健全农村生活污水处理设施运维管理资金保障机制。</w:t>
      </w:r>
    </w:p>
    <w:p>
      <w:pPr>
        <w:overflowPunct w:val="0"/>
        <w:topLinePunct/>
        <w:adjustRightInd w:val="0"/>
        <w:snapToGrid w:val="0"/>
        <w:spacing w:line="600" w:lineRule="exact"/>
        <w:ind w:firstLine="643"/>
        <w:outlineLvl w:val="1"/>
        <w:rPr>
          <w:spacing w:val="0"/>
          <w:szCs w:val="32"/>
        </w:rPr>
      </w:pPr>
      <w:r>
        <w:rPr>
          <w:rFonts w:hint="eastAsia" w:eastAsia="楷体_GB2312"/>
          <w:b/>
          <w:spacing w:val="0"/>
        </w:rPr>
        <w:t>第八条</w:t>
      </w:r>
      <w:r>
        <w:rPr>
          <w:rFonts w:hint="eastAsia" w:eastAsia="楷体_GB2312"/>
          <w:spacing w:val="0"/>
        </w:rPr>
        <w:t xml:space="preserve"> </w:t>
      </w:r>
      <w:r>
        <w:rPr>
          <w:rFonts w:hint="eastAsia"/>
          <w:spacing w:val="0"/>
          <w:szCs w:val="32"/>
        </w:rPr>
        <w:t>市（州）、</w:t>
      </w:r>
      <w:r>
        <w:rPr>
          <w:spacing w:val="0"/>
          <w:szCs w:val="32"/>
        </w:rPr>
        <w:t>县（市、区）农村生活污水处理设施运维主管部门负责本行政区域</w:t>
      </w:r>
      <w:r>
        <w:rPr>
          <w:rFonts w:hint="eastAsia"/>
          <w:spacing w:val="0"/>
          <w:szCs w:val="32"/>
        </w:rPr>
        <w:t>内</w:t>
      </w:r>
      <w:r>
        <w:rPr>
          <w:spacing w:val="0"/>
          <w:szCs w:val="32"/>
        </w:rPr>
        <w:t>农村生活污水处理设施运维日常管理工作</w:t>
      </w:r>
      <w:r>
        <w:rPr>
          <w:rFonts w:hint="eastAsia"/>
          <w:spacing w:val="0"/>
          <w:szCs w:val="32"/>
        </w:rPr>
        <w:t>。</w:t>
      </w:r>
    </w:p>
    <w:p>
      <w:pPr>
        <w:overflowPunct w:val="0"/>
        <w:topLinePunct/>
        <w:adjustRightInd w:val="0"/>
        <w:snapToGrid w:val="0"/>
        <w:spacing w:line="600" w:lineRule="exact"/>
        <w:ind w:firstLine="640"/>
        <w:rPr>
          <w:spacing w:val="0"/>
          <w:szCs w:val="32"/>
        </w:rPr>
      </w:pPr>
      <w:r>
        <w:rPr>
          <w:rFonts w:hint="eastAsia"/>
          <w:spacing w:val="0"/>
          <w:szCs w:val="32"/>
        </w:rPr>
        <w:t>市（州）、县（市、区）生态环境部门负责本行政区域内农村生活污水处理设施运维</w:t>
      </w:r>
      <w:r>
        <w:rPr>
          <w:spacing w:val="0"/>
          <w:szCs w:val="32"/>
        </w:rPr>
        <w:t>管理和</w:t>
      </w:r>
      <w:r>
        <w:rPr>
          <w:rFonts w:hint="eastAsia"/>
          <w:spacing w:val="0"/>
          <w:szCs w:val="32"/>
        </w:rPr>
        <w:t>进水水质是否符合要求及出水水质达标情况的监督管理工作。</w:t>
      </w:r>
    </w:p>
    <w:p>
      <w:pPr>
        <w:overflowPunct w:val="0"/>
        <w:topLinePunct/>
        <w:adjustRightInd w:val="0"/>
        <w:snapToGrid w:val="0"/>
        <w:spacing w:line="600" w:lineRule="exact"/>
        <w:ind w:firstLine="641"/>
        <w:rPr>
          <w:spacing w:val="0"/>
          <w:szCs w:val="32"/>
        </w:rPr>
      </w:pPr>
      <w:r>
        <w:rPr>
          <w:rFonts w:hint="eastAsia"/>
          <w:spacing w:val="0"/>
          <w:szCs w:val="32"/>
        </w:rPr>
        <w:t>市（州）、县（市、区）农业（农牧）农村、住房城乡建设（城市管理）、水利</w:t>
      </w:r>
      <w:r>
        <w:rPr>
          <w:spacing w:val="0"/>
          <w:szCs w:val="32"/>
        </w:rPr>
        <w:t>（</w:t>
      </w:r>
      <w:r>
        <w:rPr>
          <w:rFonts w:hint="eastAsia"/>
          <w:spacing w:val="0"/>
          <w:szCs w:val="32"/>
        </w:rPr>
        <w:t>水务</w:t>
      </w:r>
      <w:r>
        <w:rPr>
          <w:spacing w:val="0"/>
          <w:szCs w:val="32"/>
        </w:rPr>
        <w:t>）</w:t>
      </w:r>
      <w:r>
        <w:rPr>
          <w:rFonts w:hint="eastAsia"/>
          <w:spacing w:val="0"/>
          <w:szCs w:val="32"/>
        </w:rPr>
        <w:t>、发展改革、财政、乡村振兴等有关部门按照各自职责，主动</w:t>
      </w:r>
      <w:r>
        <w:rPr>
          <w:spacing w:val="0"/>
          <w:szCs w:val="32"/>
        </w:rPr>
        <w:t>配合</w:t>
      </w:r>
      <w:r>
        <w:rPr>
          <w:rFonts w:hint="eastAsia"/>
          <w:spacing w:val="0"/>
          <w:szCs w:val="32"/>
        </w:rPr>
        <w:t>做好农村生活污水处理设施运维管理相关工作。</w:t>
      </w:r>
    </w:p>
    <w:p>
      <w:pPr>
        <w:overflowPunct w:val="0"/>
        <w:topLinePunct/>
        <w:adjustRightInd w:val="0"/>
        <w:snapToGrid w:val="0"/>
        <w:spacing w:line="600" w:lineRule="exact"/>
        <w:ind w:firstLine="641"/>
        <w:rPr>
          <w:spacing w:val="0"/>
          <w:sz w:val="21"/>
        </w:rPr>
      </w:pPr>
    </w:p>
    <w:p>
      <w:pPr>
        <w:overflowPunct w:val="0"/>
        <w:topLinePunct/>
        <w:adjustRightInd w:val="0"/>
        <w:snapToGrid w:val="0"/>
        <w:spacing w:line="600" w:lineRule="exact"/>
        <w:jc w:val="center"/>
        <w:outlineLvl w:val="0"/>
        <w:rPr>
          <w:rFonts w:eastAsia="黑体"/>
          <w:spacing w:val="0"/>
        </w:rPr>
      </w:pPr>
      <w:r>
        <w:rPr>
          <w:rFonts w:hint="eastAsia" w:eastAsia="黑体"/>
          <w:spacing w:val="0"/>
        </w:rPr>
        <w:t>第三章</w:t>
      </w:r>
      <w:r>
        <w:rPr>
          <w:rFonts w:eastAsia="黑体"/>
          <w:spacing w:val="0"/>
        </w:rPr>
        <w:t xml:space="preserve">  </w:t>
      </w:r>
      <w:r>
        <w:rPr>
          <w:rFonts w:hint="eastAsia" w:eastAsia="黑体"/>
          <w:spacing w:val="0"/>
        </w:rPr>
        <w:t>运行维护</w:t>
      </w:r>
    </w:p>
    <w:p>
      <w:pPr>
        <w:overflowPunct w:val="0"/>
        <w:topLinePunct/>
        <w:adjustRightInd w:val="0"/>
        <w:snapToGrid w:val="0"/>
        <w:spacing w:line="600" w:lineRule="exact"/>
        <w:ind w:firstLine="643"/>
        <w:outlineLvl w:val="1"/>
        <w:rPr>
          <w:spacing w:val="0"/>
          <w:szCs w:val="32"/>
        </w:rPr>
      </w:pPr>
      <w:r>
        <w:rPr>
          <w:rFonts w:hint="eastAsia" w:eastAsia="楷体_GB2312"/>
          <w:b/>
          <w:spacing w:val="0"/>
        </w:rPr>
        <w:t>第九条</w:t>
      </w:r>
      <w:r>
        <w:rPr>
          <w:spacing w:val="0"/>
          <w:szCs w:val="32"/>
        </w:rPr>
        <w:t xml:space="preserve"> </w:t>
      </w:r>
      <w:r>
        <w:rPr>
          <w:rFonts w:hint="eastAsia"/>
          <w:spacing w:val="0"/>
          <w:szCs w:val="32"/>
        </w:rPr>
        <w:t>科学合理确定农村生活污水处理设施运维管理模式。鼓励以县（市、区）为单位委托有实力的专业企业作为运维单位，运维管理农村生活污水处理设施。对于规模较小、工艺相对简单、操作简便的农村生活污水处理设施，可根据当地实际，采用乡镇（街道）或村（社区）属地自行运维的模式，保障设施正常运行。</w:t>
      </w:r>
    </w:p>
    <w:p>
      <w:pPr>
        <w:overflowPunct w:val="0"/>
        <w:topLinePunct/>
        <w:adjustRightInd w:val="0"/>
        <w:snapToGrid w:val="0"/>
        <w:spacing w:line="600" w:lineRule="exact"/>
        <w:ind w:firstLine="643"/>
        <w:outlineLvl w:val="1"/>
        <w:rPr>
          <w:spacing w:val="0"/>
          <w:szCs w:val="32"/>
        </w:rPr>
      </w:pPr>
      <w:r>
        <w:rPr>
          <w:rFonts w:hint="eastAsia" w:eastAsia="楷体_GB2312"/>
          <w:b/>
          <w:spacing w:val="0"/>
        </w:rPr>
        <w:t>第十条</w:t>
      </w:r>
      <w:r>
        <w:rPr>
          <w:spacing w:val="0"/>
          <w:szCs w:val="32"/>
        </w:rPr>
        <w:t xml:space="preserve"> </w:t>
      </w:r>
      <w:r>
        <w:rPr>
          <w:rFonts w:hint="eastAsia"/>
          <w:spacing w:val="0"/>
          <w:szCs w:val="32"/>
        </w:rPr>
        <w:t>委托专业企业运维的，委托方应与运维单位订立合同，明确双方权利义务。合同应载明运维服务的范围、内容、目标效果、费用和违约责任等，明确设施交付条件，界定不可抗力。</w:t>
      </w:r>
    </w:p>
    <w:p>
      <w:pPr>
        <w:overflowPunct w:val="0"/>
        <w:topLinePunct/>
        <w:adjustRightInd w:val="0"/>
        <w:snapToGrid w:val="0"/>
        <w:spacing w:line="600" w:lineRule="exact"/>
        <w:ind w:firstLine="643"/>
        <w:outlineLvl w:val="1"/>
        <w:rPr>
          <w:spacing w:val="0"/>
          <w:szCs w:val="32"/>
        </w:rPr>
      </w:pPr>
      <w:r>
        <w:rPr>
          <w:rFonts w:hint="eastAsia" w:eastAsia="楷体_GB2312"/>
          <w:b/>
          <w:spacing w:val="0"/>
        </w:rPr>
        <w:t>第十一条</w:t>
      </w:r>
      <w:r>
        <w:rPr>
          <w:spacing w:val="0"/>
          <w:szCs w:val="32"/>
        </w:rPr>
        <w:t xml:space="preserve"> </w:t>
      </w:r>
      <w:r>
        <w:rPr>
          <w:rFonts w:hint="eastAsia"/>
          <w:spacing w:val="0"/>
          <w:szCs w:val="32"/>
        </w:rPr>
        <w:t>运维单位依据法律法规、标准规范和合同约定，制定运维手册、安全操作规程、突发环境事件应急预案和人员培训制度等，落实运维管理队伍，鼓励优先聘用当地村民对污水处理设施运维进行辅助管理，并对其进行必要的培训，要求运维人员严格执行相关安全操作规程。</w:t>
      </w:r>
    </w:p>
    <w:p>
      <w:pPr>
        <w:overflowPunct w:val="0"/>
        <w:topLinePunct/>
        <w:adjustRightInd w:val="0"/>
        <w:snapToGrid w:val="0"/>
        <w:spacing w:line="600" w:lineRule="exact"/>
        <w:ind w:firstLine="643"/>
        <w:outlineLvl w:val="1"/>
        <w:rPr>
          <w:spacing w:val="0"/>
          <w:szCs w:val="32"/>
        </w:rPr>
      </w:pPr>
      <w:r>
        <w:rPr>
          <w:rFonts w:hint="eastAsia" w:eastAsia="楷体_GB2312"/>
          <w:b/>
          <w:spacing w:val="0"/>
        </w:rPr>
        <w:t>第十二条</w:t>
      </w:r>
      <w:r>
        <w:rPr>
          <w:spacing w:val="0"/>
          <w:szCs w:val="32"/>
        </w:rPr>
        <w:t xml:space="preserve"> </w:t>
      </w:r>
      <w:r>
        <w:rPr>
          <w:rFonts w:hint="eastAsia"/>
          <w:spacing w:val="0"/>
          <w:szCs w:val="32"/>
        </w:rPr>
        <w:t>运维单位应建立运维管理台账制度，管理台账应包括巡查、设备检修及养护、运行故障及处理结果、进出水水量及水质监测、物资使用及污泥处理、运输、处置等。</w:t>
      </w:r>
    </w:p>
    <w:p>
      <w:pPr>
        <w:overflowPunct w:val="0"/>
        <w:topLinePunct/>
        <w:adjustRightInd w:val="0"/>
        <w:snapToGrid w:val="0"/>
        <w:spacing w:line="600" w:lineRule="exact"/>
        <w:ind w:firstLine="643"/>
        <w:outlineLvl w:val="1"/>
        <w:rPr>
          <w:spacing w:val="0"/>
          <w:szCs w:val="32"/>
        </w:rPr>
      </w:pPr>
      <w:r>
        <w:rPr>
          <w:rFonts w:hint="eastAsia" w:eastAsia="楷体_GB2312"/>
          <w:b/>
          <w:spacing w:val="0"/>
        </w:rPr>
        <w:t>第十三条</w:t>
      </w:r>
      <w:r>
        <w:rPr>
          <w:spacing w:val="0"/>
          <w:szCs w:val="32"/>
        </w:rPr>
        <w:t xml:space="preserve"> </w:t>
      </w:r>
      <w:r>
        <w:rPr>
          <w:rFonts w:hint="eastAsia"/>
          <w:spacing w:val="0"/>
          <w:szCs w:val="32"/>
        </w:rPr>
        <w:t>运维单位应定期对农村生活污水处理设施出水水质进行监测，排放出水必测项目为化学需氧量（</w:t>
      </w:r>
      <w:r>
        <w:rPr>
          <w:spacing w:val="0"/>
          <w:szCs w:val="32"/>
        </w:rPr>
        <w:t>COD</w:t>
      </w:r>
      <w:r>
        <w:rPr>
          <w:rFonts w:hint="eastAsia"/>
          <w:spacing w:val="0"/>
          <w:szCs w:val="32"/>
          <w:vertAlign w:val="subscript"/>
        </w:rPr>
        <w:t>C</w:t>
      </w:r>
      <w:r>
        <w:rPr>
          <w:spacing w:val="0"/>
          <w:szCs w:val="32"/>
          <w:vertAlign w:val="subscript"/>
        </w:rPr>
        <w:t>r</w:t>
      </w:r>
      <w:r>
        <w:rPr>
          <w:rFonts w:hint="eastAsia"/>
          <w:spacing w:val="0"/>
          <w:szCs w:val="32"/>
        </w:rPr>
        <w:t>）和氨氮。对设计处理规模</w:t>
      </w:r>
      <w:r>
        <w:rPr>
          <w:spacing w:val="0"/>
          <w:szCs w:val="32"/>
        </w:rPr>
        <w:t>20</w:t>
      </w:r>
      <w:r>
        <w:rPr>
          <w:rFonts w:hint="eastAsia"/>
          <w:spacing w:val="0"/>
          <w:szCs w:val="32"/>
        </w:rPr>
        <w:t>吨</w:t>
      </w:r>
      <w:r>
        <w:rPr>
          <w:spacing w:val="0"/>
          <w:szCs w:val="32"/>
        </w:rPr>
        <w:t>/</w:t>
      </w:r>
      <w:r>
        <w:rPr>
          <w:rFonts w:hint="eastAsia"/>
          <w:spacing w:val="0"/>
          <w:szCs w:val="32"/>
        </w:rPr>
        <w:t>日以下的设施，按照一定比例进行定期抽测；对设计处理规模</w:t>
      </w:r>
      <w:r>
        <w:rPr>
          <w:spacing w:val="0"/>
          <w:szCs w:val="32"/>
        </w:rPr>
        <w:t>20</w:t>
      </w:r>
      <w:r>
        <w:rPr>
          <w:rFonts w:hint="eastAsia"/>
          <w:spacing w:val="0"/>
          <w:szCs w:val="32"/>
        </w:rPr>
        <w:t>吨</w:t>
      </w:r>
      <w:r>
        <w:rPr>
          <w:spacing w:val="0"/>
          <w:szCs w:val="32"/>
        </w:rPr>
        <w:t>/</w:t>
      </w:r>
      <w:r>
        <w:rPr>
          <w:rFonts w:hint="eastAsia"/>
          <w:spacing w:val="0"/>
          <w:szCs w:val="32"/>
        </w:rPr>
        <w:t>日（含）</w:t>
      </w:r>
      <w:r>
        <w:rPr>
          <w:spacing w:val="0"/>
          <w:szCs w:val="32"/>
        </w:rPr>
        <w:t>~</w:t>
      </w:r>
      <w:r>
        <w:rPr>
          <w:rFonts w:hint="eastAsia"/>
          <w:spacing w:val="0"/>
          <w:szCs w:val="32"/>
        </w:rPr>
        <w:t>5</w:t>
      </w:r>
      <w:r>
        <w:rPr>
          <w:spacing w:val="0"/>
          <w:szCs w:val="32"/>
        </w:rPr>
        <w:t>00</w:t>
      </w:r>
      <w:r>
        <w:rPr>
          <w:rFonts w:hint="eastAsia"/>
          <w:spacing w:val="0"/>
          <w:szCs w:val="32"/>
        </w:rPr>
        <w:t>吨</w:t>
      </w:r>
      <w:r>
        <w:rPr>
          <w:spacing w:val="0"/>
          <w:szCs w:val="32"/>
        </w:rPr>
        <w:t>/</w:t>
      </w:r>
      <w:r>
        <w:rPr>
          <w:rFonts w:hint="eastAsia"/>
          <w:spacing w:val="0"/>
          <w:szCs w:val="32"/>
        </w:rPr>
        <w:t>日的设施，上、下半年各监测一次；对设计处理规模</w:t>
      </w:r>
      <w:r>
        <w:rPr>
          <w:spacing w:val="0"/>
          <w:szCs w:val="32"/>
        </w:rPr>
        <w:t>500</w:t>
      </w:r>
      <w:r>
        <w:rPr>
          <w:rFonts w:hint="eastAsia"/>
          <w:spacing w:val="0"/>
          <w:szCs w:val="32"/>
        </w:rPr>
        <w:t>吨</w:t>
      </w:r>
      <w:r>
        <w:rPr>
          <w:spacing w:val="0"/>
          <w:szCs w:val="32"/>
        </w:rPr>
        <w:t>/</w:t>
      </w:r>
      <w:r>
        <w:rPr>
          <w:rFonts w:hint="eastAsia"/>
          <w:spacing w:val="0"/>
          <w:szCs w:val="32"/>
        </w:rPr>
        <w:t>日（含）以上的设施，按照排污许可要求开展监测。出水水质按照四川省《农村生活污水处理设施水污染物排放标准》（</w:t>
      </w:r>
      <w:r>
        <w:rPr>
          <w:spacing w:val="0"/>
          <w:szCs w:val="32"/>
        </w:rPr>
        <w:t>DB 51/2626</w:t>
      </w:r>
      <w:r>
        <w:rPr>
          <w:rFonts w:hint="eastAsia"/>
          <w:spacing w:val="0"/>
          <w:szCs w:val="32"/>
        </w:rPr>
        <w:t>）中相关要求执行。</w:t>
      </w:r>
    </w:p>
    <w:p>
      <w:pPr>
        <w:overflowPunct w:val="0"/>
        <w:topLinePunct/>
        <w:adjustRightInd w:val="0"/>
        <w:snapToGrid w:val="0"/>
        <w:spacing w:line="600" w:lineRule="exact"/>
        <w:ind w:firstLine="643"/>
        <w:outlineLvl w:val="1"/>
        <w:rPr>
          <w:spacing w:val="0"/>
          <w:szCs w:val="32"/>
        </w:rPr>
      </w:pPr>
      <w:r>
        <w:rPr>
          <w:rFonts w:hint="eastAsia" w:eastAsia="楷体_GB2312"/>
          <w:b/>
          <w:spacing w:val="0"/>
        </w:rPr>
        <w:t>第十四条</w:t>
      </w:r>
      <w:r>
        <w:rPr>
          <w:rFonts w:hint="eastAsia"/>
          <w:spacing w:val="0"/>
          <w:szCs w:val="32"/>
        </w:rPr>
        <w:t xml:space="preserve"> 运维单位应按照有关规定自行或委托有实力的专业企业对农村生活污水处理产生的污泥进行无害化处置或综合利用。鼓励对污泥进行资源化利用。</w:t>
      </w:r>
    </w:p>
    <w:p>
      <w:pPr>
        <w:overflowPunct w:val="0"/>
        <w:topLinePunct/>
        <w:adjustRightInd w:val="0"/>
        <w:snapToGrid w:val="0"/>
        <w:spacing w:line="600" w:lineRule="exact"/>
        <w:ind w:firstLine="643"/>
        <w:outlineLvl w:val="1"/>
        <w:rPr>
          <w:spacing w:val="0"/>
          <w:szCs w:val="32"/>
        </w:rPr>
      </w:pPr>
      <w:r>
        <w:rPr>
          <w:rFonts w:hint="eastAsia" w:eastAsia="楷体_GB2312"/>
          <w:b/>
          <w:spacing w:val="0"/>
        </w:rPr>
        <w:t>第十五条</w:t>
      </w:r>
      <w:r>
        <w:rPr>
          <w:spacing w:val="0"/>
          <w:szCs w:val="32"/>
        </w:rPr>
        <w:t xml:space="preserve"> </w:t>
      </w:r>
      <w:r>
        <w:rPr>
          <w:rFonts w:hint="eastAsia"/>
          <w:spacing w:val="0"/>
          <w:szCs w:val="32"/>
        </w:rPr>
        <w:t>运维单位不得擅自停运农村生活污水处理设施，因检修等原因确需停运的，应提前十五日向县（市、区）农村生活污水处理设施运维主管部门和生态环境部门书面报告停运原因、停运时间、应急措施等。</w:t>
      </w:r>
    </w:p>
    <w:p>
      <w:pPr>
        <w:overflowPunct w:val="0"/>
        <w:topLinePunct/>
        <w:adjustRightInd w:val="0"/>
        <w:snapToGrid w:val="0"/>
        <w:spacing w:line="600" w:lineRule="exact"/>
        <w:ind w:firstLine="643"/>
        <w:outlineLvl w:val="1"/>
        <w:rPr>
          <w:spacing w:val="0"/>
          <w:szCs w:val="32"/>
        </w:rPr>
      </w:pPr>
      <w:r>
        <w:rPr>
          <w:rFonts w:hint="eastAsia" w:eastAsia="楷体_GB2312"/>
          <w:b/>
          <w:spacing w:val="0"/>
        </w:rPr>
        <w:t>第十六条</w:t>
      </w:r>
      <w:r>
        <w:rPr>
          <w:b/>
          <w:spacing w:val="0"/>
          <w:szCs w:val="32"/>
        </w:rPr>
        <w:t xml:space="preserve"> </w:t>
      </w:r>
      <w:r>
        <w:rPr>
          <w:rFonts w:hint="eastAsia"/>
          <w:spacing w:val="0"/>
          <w:szCs w:val="32"/>
        </w:rPr>
        <w:t>农村生活污水处理设施出现故障或因不可抗力导致运行不正常的，运维单位应在</w:t>
      </w:r>
      <w:r>
        <w:rPr>
          <w:spacing w:val="0"/>
          <w:szCs w:val="32"/>
        </w:rPr>
        <w:t>24</w:t>
      </w:r>
      <w:r>
        <w:rPr>
          <w:rFonts w:hint="eastAsia"/>
          <w:spacing w:val="0"/>
          <w:szCs w:val="32"/>
        </w:rPr>
        <w:t>小时内向县（市、区）农村生活污水处理设施运维主管部门和生态环境部门报告，并启动应急预案，限时完成问题处理。</w:t>
      </w:r>
    </w:p>
    <w:p>
      <w:pPr>
        <w:overflowPunct w:val="0"/>
        <w:topLinePunct/>
        <w:adjustRightInd w:val="0"/>
        <w:snapToGrid w:val="0"/>
        <w:spacing w:line="600" w:lineRule="exact"/>
        <w:ind w:firstLine="641"/>
        <w:outlineLvl w:val="1"/>
        <w:rPr>
          <w:spacing w:val="0"/>
          <w:szCs w:val="32"/>
        </w:rPr>
      </w:pPr>
      <w:r>
        <w:rPr>
          <w:rFonts w:hint="eastAsia" w:eastAsia="楷体_GB2312"/>
          <w:b/>
          <w:spacing w:val="0"/>
        </w:rPr>
        <w:t>第十七条</w:t>
      </w:r>
      <w:r>
        <w:rPr>
          <w:rFonts w:hint="eastAsia"/>
          <w:spacing w:val="0"/>
          <w:szCs w:val="32"/>
        </w:rPr>
        <w:t xml:space="preserve"> 对于进水水质、水量发生显著变化，可能影响设施出水水质的，运维单位应保留原始数据并立即采取应对措施，保障污水处理达标。</w:t>
      </w:r>
    </w:p>
    <w:p>
      <w:pPr>
        <w:overflowPunct w:val="0"/>
        <w:topLinePunct/>
        <w:adjustRightInd w:val="0"/>
        <w:snapToGrid w:val="0"/>
        <w:spacing w:line="600" w:lineRule="exact"/>
        <w:ind w:firstLine="641"/>
        <w:outlineLvl w:val="1"/>
        <w:rPr>
          <w:spacing w:val="0"/>
          <w:szCs w:val="32"/>
        </w:rPr>
      </w:pPr>
      <w:r>
        <w:rPr>
          <w:rFonts w:hint="eastAsia" w:eastAsia="楷体_GB2312"/>
          <w:b/>
          <w:spacing w:val="0"/>
        </w:rPr>
        <w:t>第十八条</w:t>
      </w:r>
      <w:r>
        <w:rPr>
          <w:spacing w:val="0"/>
          <w:szCs w:val="32"/>
        </w:rPr>
        <w:t xml:space="preserve"> </w:t>
      </w:r>
      <w:r>
        <w:rPr>
          <w:rFonts w:hint="eastAsia"/>
          <w:spacing w:val="0"/>
          <w:szCs w:val="32"/>
        </w:rPr>
        <w:t>运维单位应在设施所在地公示运维单位名称、责任人、运维人员及联系电话等内容。</w:t>
      </w:r>
    </w:p>
    <w:p>
      <w:pPr>
        <w:overflowPunct w:val="0"/>
        <w:topLinePunct/>
        <w:adjustRightInd w:val="0"/>
        <w:snapToGrid w:val="0"/>
        <w:spacing w:line="600" w:lineRule="exact"/>
        <w:ind w:firstLine="643"/>
        <w:outlineLvl w:val="1"/>
        <w:rPr>
          <w:spacing w:val="0"/>
          <w:szCs w:val="32"/>
        </w:rPr>
      </w:pPr>
      <w:r>
        <w:rPr>
          <w:rFonts w:hint="eastAsia" w:eastAsia="楷体_GB2312"/>
          <w:b/>
          <w:spacing w:val="0"/>
        </w:rPr>
        <w:t>第十九条</w:t>
      </w:r>
      <w:r>
        <w:rPr>
          <w:rFonts w:eastAsia="楷体_GB2312"/>
          <w:spacing w:val="0"/>
        </w:rPr>
        <w:t xml:space="preserve"> </w:t>
      </w:r>
      <w:r>
        <w:rPr>
          <w:rFonts w:hint="eastAsia"/>
          <w:spacing w:val="0"/>
          <w:szCs w:val="32"/>
        </w:rPr>
        <w:t>运维单位应定期向委托方报告农村生活污水处理设施的运维管理情况。</w:t>
      </w:r>
    </w:p>
    <w:p>
      <w:pPr>
        <w:overflowPunct w:val="0"/>
        <w:topLinePunct/>
        <w:adjustRightInd w:val="0"/>
        <w:snapToGrid w:val="0"/>
        <w:spacing w:line="600" w:lineRule="exact"/>
        <w:ind w:firstLine="643"/>
        <w:outlineLvl w:val="1"/>
        <w:rPr>
          <w:spacing w:val="0"/>
          <w:szCs w:val="32"/>
        </w:rPr>
      </w:pPr>
      <w:r>
        <w:rPr>
          <w:rFonts w:hint="eastAsia" w:eastAsia="楷体_GB2312"/>
          <w:b/>
          <w:spacing w:val="0"/>
        </w:rPr>
        <w:t>第二十条</w:t>
      </w:r>
      <w:r>
        <w:rPr>
          <w:spacing w:val="0"/>
          <w:szCs w:val="32"/>
        </w:rPr>
        <w:t xml:space="preserve"> </w:t>
      </w:r>
      <w:r>
        <w:rPr>
          <w:rFonts w:hint="eastAsia"/>
          <w:spacing w:val="0"/>
          <w:szCs w:val="32"/>
        </w:rPr>
        <w:t>采用属地自行运维模式的，参照本办法第十一条至第十八条规定执行。</w:t>
      </w:r>
    </w:p>
    <w:p>
      <w:pPr>
        <w:overflowPunct w:val="0"/>
        <w:topLinePunct/>
        <w:spacing w:line="600" w:lineRule="exact"/>
        <w:ind w:firstLine="641"/>
        <w:outlineLvl w:val="1"/>
        <w:rPr>
          <w:color w:val="000000" w:themeColor="text1"/>
          <w:spacing w:val="0"/>
          <w:szCs w:val="32"/>
          <w14:textFill>
            <w14:solidFill>
              <w14:schemeClr w14:val="tx1"/>
            </w14:solidFill>
          </w14:textFill>
        </w:rPr>
      </w:pPr>
      <w:r>
        <w:rPr>
          <w:rFonts w:hint="eastAsia" w:eastAsia="楷体_GB2312"/>
          <w:b/>
          <w:color w:val="000000" w:themeColor="text1"/>
          <w:spacing w:val="0"/>
          <w14:textFill>
            <w14:solidFill>
              <w14:schemeClr w14:val="tx1"/>
            </w14:solidFill>
          </w14:textFill>
        </w:rPr>
        <w:t>第二十一条</w:t>
      </w:r>
      <w:r>
        <w:rPr>
          <w:rFonts w:hint="eastAsia"/>
          <w:color w:val="000000" w:themeColor="text1"/>
          <w:spacing w:val="0"/>
          <w:szCs w:val="32"/>
          <w14:textFill>
            <w14:solidFill>
              <w14:schemeClr w14:val="tx1"/>
            </w14:solidFill>
          </w14:textFill>
        </w:rPr>
        <w:t xml:space="preserve"> 充分发挥村民委员会、村务监督委员会、集体经济组织作用，引导农民参与农村生活污水处理设施运行维护。</w:t>
      </w:r>
    </w:p>
    <w:p>
      <w:pPr>
        <w:overflowPunct w:val="0"/>
        <w:topLinePunct/>
        <w:adjustRightInd w:val="0"/>
        <w:snapToGrid w:val="0"/>
        <w:spacing w:line="600" w:lineRule="exact"/>
        <w:ind w:firstLine="641"/>
        <w:rPr>
          <w:spacing w:val="0"/>
          <w:sz w:val="21"/>
        </w:rPr>
      </w:pPr>
    </w:p>
    <w:p>
      <w:pPr>
        <w:overflowPunct w:val="0"/>
        <w:topLinePunct/>
        <w:adjustRightInd w:val="0"/>
        <w:snapToGrid w:val="0"/>
        <w:spacing w:line="600" w:lineRule="exact"/>
        <w:jc w:val="center"/>
        <w:outlineLvl w:val="0"/>
        <w:rPr>
          <w:rFonts w:eastAsia="黑体"/>
          <w:spacing w:val="0"/>
        </w:rPr>
      </w:pPr>
      <w:r>
        <w:rPr>
          <w:rFonts w:hint="eastAsia" w:eastAsia="黑体"/>
          <w:spacing w:val="0"/>
        </w:rPr>
        <w:t>第四章</w:t>
      </w:r>
      <w:r>
        <w:rPr>
          <w:rFonts w:eastAsia="黑体"/>
          <w:spacing w:val="0"/>
        </w:rPr>
        <w:t xml:space="preserve">  </w:t>
      </w:r>
      <w:r>
        <w:rPr>
          <w:rFonts w:hint="eastAsia" w:eastAsia="黑体"/>
          <w:spacing w:val="0"/>
        </w:rPr>
        <w:t>资金保障</w:t>
      </w:r>
    </w:p>
    <w:p>
      <w:pPr>
        <w:overflowPunct w:val="0"/>
        <w:topLinePunct/>
        <w:adjustRightInd w:val="0"/>
        <w:snapToGrid w:val="0"/>
        <w:spacing w:line="600" w:lineRule="exact"/>
        <w:ind w:firstLine="641"/>
        <w:outlineLvl w:val="1"/>
        <w:rPr>
          <w:spacing w:val="0"/>
          <w:szCs w:val="32"/>
        </w:rPr>
      </w:pPr>
      <w:r>
        <w:rPr>
          <w:rFonts w:hint="eastAsia" w:eastAsia="楷体_GB2312"/>
          <w:b/>
          <w:spacing w:val="0"/>
        </w:rPr>
        <w:t>第二十二条</w:t>
      </w:r>
      <w:r>
        <w:rPr>
          <w:spacing w:val="0"/>
          <w:szCs w:val="32"/>
        </w:rPr>
        <w:t xml:space="preserve"> </w:t>
      </w:r>
      <w:r>
        <w:rPr>
          <w:rFonts w:hint="eastAsia"/>
          <w:spacing w:val="0"/>
          <w:szCs w:val="32"/>
        </w:rPr>
        <w:t>县（市、区）人民政府应</w:t>
      </w:r>
      <w:r>
        <w:rPr>
          <w:rFonts w:hint="eastAsia"/>
          <w:color w:val="000000" w:themeColor="text1"/>
          <w:spacing w:val="0"/>
          <w:szCs w:val="32"/>
          <w14:textFill>
            <w14:solidFill>
              <w14:schemeClr w14:val="tx1"/>
            </w14:solidFill>
          </w14:textFill>
        </w:rPr>
        <w:t>按国家、省有关规定</w:t>
      </w:r>
      <w:r>
        <w:rPr>
          <w:rFonts w:hint="eastAsia"/>
          <w:spacing w:val="0"/>
          <w:szCs w:val="32"/>
        </w:rPr>
        <w:t>落实地方财政事权，加大农村生活污水处理设施运维管理资金投入，将所需经费纳入财政预算，保障污水处理设施长效运行。</w:t>
      </w:r>
    </w:p>
    <w:p>
      <w:pPr>
        <w:overflowPunct w:val="0"/>
        <w:topLinePunct/>
        <w:adjustRightInd w:val="0"/>
        <w:snapToGrid w:val="0"/>
        <w:spacing w:line="600" w:lineRule="exact"/>
        <w:ind w:firstLine="641"/>
        <w:outlineLvl w:val="1"/>
        <w:rPr>
          <w:spacing w:val="0"/>
          <w:szCs w:val="32"/>
        </w:rPr>
      </w:pPr>
      <w:r>
        <w:rPr>
          <w:rFonts w:hint="eastAsia" w:eastAsia="楷体_GB2312"/>
          <w:b/>
          <w:spacing w:val="0"/>
        </w:rPr>
        <w:t>第二十三条</w:t>
      </w:r>
      <w:r>
        <w:rPr>
          <w:spacing w:val="0"/>
          <w:szCs w:val="32"/>
        </w:rPr>
        <w:t xml:space="preserve"> </w:t>
      </w:r>
      <w:r>
        <w:rPr>
          <w:rFonts w:hint="eastAsia"/>
          <w:spacing w:val="0"/>
          <w:szCs w:val="32"/>
        </w:rPr>
        <w:t>建立政府扶持、群众自筹、社会参与的资金多元投入保障机制。按照</w:t>
      </w:r>
      <w:r>
        <w:rPr>
          <w:spacing w:val="0"/>
          <w:szCs w:val="32"/>
        </w:rPr>
        <w:t>“</w:t>
      </w:r>
      <w:r>
        <w:rPr>
          <w:rFonts w:hint="eastAsia"/>
          <w:spacing w:val="0"/>
          <w:szCs w:val="32"/>
        </w:rPr>
        <w:t>污染付费</w:t>
      </w:r>
      <w:r>
        <w:rPr>
          <w:spacing w:val="0"/>
          <w:szCs w:val="32"/>
        </w:rPr>
        <w:t>”</w:t>
      </w:r>
      <w:r>
        <w:rPr>
          <w:rFonts w:hint="eastAsia"/>
          <w:spacing w:val="0"/>
          <w:szCs w:val="32"/>
        </w:rPr>
        <w:t>原则，探索随自来水费征收污水处理费、农村集体经济组织付费、村（居）民约定付费等机制，综合考虑群众承受能力、污水治理和运行成本，合理确定收费标准。</w:t>
      </w:r>
    </w:p>
    <w:p>
      <w:pPr>
        <w:overflowPunct w:val="0"/>
        <w:topLinePunct/>
        <w:adjustRightInd w:val="0"/>
        <w:snapToGrid w:val="0"/>
        <w:spacing w:line="600" w:lineRule="exact"/>
        <w:ind w:firstLine="641"/>
        <w:outlineLvl w:val="1"/>
        <w:rPr>
          <w:spacing w:val="0"/>
          <w:szCs w:val="32"/>
        </w:rPr>
      </w:pPr>
      <w:r>
        <w:rPr>
          <w:rFonts w:hint="eastAsia" w:eastAsia="楷体_GB2312"/>
          <w:b/>
          <w:spacing w:val="0"/>
        </w:rPr>
        <w:t>第二十四条</w:t>
      </w:r>
      <w:r>
        <w:rPr>
          <w:spacing w:val="0"/>
          <w:szCs w:val="32"/>
        </w:rPr>
        <w:t xml:space="preserve"> </w:t>
      </w:r>
      <w:r>
        <w:rPr>
          <w:rFonts w:hint="eastAsia"/>
          <w:spacing w:val="0"/>
          <w:szCs w:val="32"/>
        </w:rPr>
        <w:t>县（市、区）财政部门应会同农村生活污水处理设施运维主管部门，加强对处理设施运维经费的使用管理，任何单位和个人不得截留、挤占、挪用资金。</w:t>
      </w:r>
    </w:p>
    <w:p>
      <w:pPr>
        <w:overflowPunct w:val="0"/>
        <w:topLinePunct/>
        <w:spacing w:line="600" w:lineRule="exact"/>
        <w:ind w:firstLine="640"/>
        <w:rPr>
          <w:spacing w:val="0"/>
          <w:szCs w:val="32"/>
        </w:rPr>
      </w:pPr>
    </w:p>
    <w:p>
      <w:pPr>
        <w:overflowPunct w:val="0"/>
        <w:topLinePunct/>
        <w:adjustRightInd w:val="0"/>
        <w:snapToGrid w:val="0"/>
        <w:spacing w:line="600" w:lineRule="exact"/>
        <w:jc w:val="center"/>
        <w:outlineLvl w:val="0"/>
        <w:rPr>
          <w:rFonts w:eastAsia="黑体"/>
          <w:spacing w:val="0"/>
        </w:rPr>
      </w:pPr>
      <w:r>
        <w:rPr>
          <w:rFonts w:hint="eastAsia" w:eastAsia="黑体"/>
          <w:spacing w:val="0"/>
        </w:rPr>
        <w:t>第五章</w:t>
      </w:r>
      <w:r>
        <w:rPr>
          <w:rFonts w:eastAsia="黑体"/>
          <w:spacing w:val="0"/>
        </w:rPr>
        <w:t xml:space="preserve">  </w:t>
      </w:r>
      <w:r>
        <w:rPr>
          <w:rFonts w:hint="eastAsia" w:eastAsia="黑体"/>
          <w:spacing w:val="0"/>
        </w:rPr>
        <w:t>监督考核</w:t>
      </w:r>
    </w:p>
    <w:p>
      <w:pPr>
        <w:overflowPunct w:val="0"/>
        <w:topLinePunct/>
        <w:adjustRightInd w:val="0"/>
        <w:snapToGrid w:val="0"/>
        <w:spacing w:line="600" w:lineRule="exact"/>
        <w:ind w:firstLine="641"/>
        <w:outlineLvl w:val="1"/>
        <w:rPr>
          <w:spacing w:val="0"/>
          <w:szCs w:val="32"/>
        </w:rPr>
      </w:pPr>
      <w:r>
        <w:rPr>
          <w:rFonts w:hint="eastAsia" w:eastAsia="楷体_GB2312"/>
          <w:b/>
          <w:spacing w:val="0"/>
        </w:rPr>
        <w:t>第二十五条</w:t>
      </w:r>
      <w:r>
        <w:rPr>
          <w:rFonts w:hint="eastAsia" w:eastAsia="楷体_GB2312"/>
          <w:spacing w:val="0"/>
        </w:rPr>
        <w:t xml:space="preserve"> </w:t>
      </w:r>
      <w:r>
        <w:rPr>
          <w:spacing w:val="0"/>
          <w:szCs w:val="32"/>
        </w:rPr>
        <w:t>市（州）生态环境部门每年</w:t>
      </w:r>
      <w:r>
        <w:rPr>
          <w:rFonts w:hint="eastAsia"/>
          <w:spacing w:val="0"/>
          <w:szCs w:val="32"/>
        </w:rPr>
        <w:t>按照相关要求</w:t>
      </w:r>
      <w:r>
        <w:rPr>
          <w:spacing w:val="0"/>
          <w:szCs w:val="32"/>
        </w:rPr>
        <w:t>对本</w:t>
      </w:r>
      <w:r>
        <w:rPr>
          <w:rFonts w:hint="eastAsia"/>
          <w:spacing w:val="0"/>
          <w:szCs w:val="32"/>
        </w:rPr>
        <w:t>行政区域</w:t>
      </w:r>
      <w:r>
        <w:rPr>
          <w:spacing w:val="0"/>
          <w:szCs w:val="32"/>
        </w:rPr>
        <w:t>内</w:t>
      </w:r>
      <w:r>
        <w:rPr>
          <w:rFonts w:hint="eastAsia"/>
          <w:spacing w:val="0"/>
          <w:szCs w:val="32"/>
        </w:rPr>
        <w:t>的</w:t>
      </w:r>
      <w:r>
        <w:rPr>
          <w:spacing w:val="0"/>
          <w:szCs w:val="32"/>
        </w:rPr>
        <w:t>农村生活污水处理设施运</w:t>
      </w:r>
      <w:r>
        <w:rPr>
          <w:rFonts w:hint="eastAsia"/>
          <w:spacing w:val="0"/>
          <w:szCs w:val="32"/>
        </w:rPr>
        <w:t>行</w:t>
      </w:r>
      <w:r>
        <w:rPr>
          <w:spacing w:val="0"/>
          <w:szCs w:val="32"/>
        </w:rPr>
        <w:t>情况</w:t>
      </w:r>
      <w:r>
        <w:rPr>
          <w:rFonts w:hint="eastAsia"/>
          <w:spacing w:val="0"/>
          <w:szCs w:val="32"/>
        </w:rPr>
        <w:t>和进、出水水质开展</w:t>
      </w:r>
      <w:r>
        <w:rPr>
          <w:spacing w:val="0"/>
          <w:szCs w:val="32"/>
        </w:rPr>
        <w:t>抽查</w:t>
      </w:r>
      <w:r>
        <w:rPr>
          <w:rFonts w:hint="eastAsia"/>
          <w:spacing w:val="0"/>
          <w:szCs w:val="32"/>
        </w:rPr>
        <w:t>，并将抽查结果通报相关县（市、区）人民政府。</w:t>
      </w:r>
    </w:p>
    <w:p>
      <w:pPr>
        <w:overflowPunct w:val="0"/>
        <w:topLinePunct/>
        <w:adjustRightInd w:val="0"/>
        <w:snapToGrid w:val="0"/>
        <w:spacing w:line="600" w:lineRule="exact"/>
        <w:ind w:firstLine="641"/>
        <w:outlineLvl w:val="1"/>
        <w:rPr>
          <w:spacing w:val="0"/>
          <w:szCs w:val="32"/>
        </w:rPr>
      </w:pPr>
      <w:r>
        <w:rPr>
          <w:rFonts w:hint="eastAsia" w:eastAsia="楷体_GB2312"/>
          <w:b/>
          <w:spacing w:val="0"/>
        </w:rPr>
        <w:t>第二十六条</w:t>
      </w:r>
      <w:r>
        <w:rPr>
          <w:rFonts w:hint="eastAsia" w:eastAsia="楷体_GB2312"/>
          <w:spacing w:val="0"/>
        </w:rPr>
        <w:t xml:space="preserve"> </w:t>
      </w:r>
      <w:r>
        <w:rPr>
          <w:spacing w:val="0"/>
          <w:szCs w:val="32"/>
        </w:rPr>
        <w:t>市（州）农村生活污水处理设施运维主管部门</w:t>
      </w:r>
      <w:r>
        <w:rPr>
          <w:rFonts w:hint="eastAsia"/>
          <w:spacing w:val="0"/>
          <w:szCs w:val="32"/>
        </w:rPr>
        <w:t>会同有关部门建立</w:t>
      </w:r>
      <w:r>
        <w:rPr>
          <w:spacing w:val="0"/>
          <w:szCs w:val="32"/>
        </w:rPr>
        <w:t>考核评估</w:t>
      </w:r>
      <w:r>
        <w:rPr>
          <w:rFonts w:hint="eastAsia"/>
          <w:spacing w:val="0"/>
          <w:szCs w:val="32"/>
        </w:rPr>
        <w:t>机制，并参照农村生活污水治理相关工作指南组织对</w:t>
      </w:r>
      <w:r>
        <w:rPr>
          <w:spacing w:val="0"/>
          <w:szCs w:val="32"/>
        </w:rPr>
        <w:t>本行政区域内农村生活污水处理设施运维管理情况</w:t>
      </w:r>
      <w:r>
        <w:rPr>
          <w:rFonts w:hint="eastAsia"/>
          <w:spacing w:val="0"/>
          <w:szCs w:val="32"/>
        </w:rPr>
        <w:t>开展考核评估</w:t>
      </w:r>
      <w:r>
        <w:rPr>
          <w:spacing w:val="0"/>
          <w:szCs w:val="32"/>
        </w:rPr>
        <w:t>。</w:t>
      </w:r>
    </w:p>
    <w:p>
      <w:pPr>
        <w:overflowPunct w:val="0"/>
        <w:topLinePunct/>
        <w:adjustRightInd w:val="0"/>
        <w:snapToGrid w:val="0"/>
        <w:spacing w:line="600" w:lineRule="exact"/>
        <w:ind w:firstLine="641"/>
        <w:outlineLvl w:val="1"/>
        <w:rPr>
          <w:spacing w:val="0"/>
          <w:szCs w:val="32"/>
        </w:rPr>
      </w:pPr>
      <w:r>
        <w:rPr>
          <w:rFonts w:hint="eastAsia" w:eastAsia="楷体_GB2312"/>
          <w:b/>
          <w:spacing w:val="0"/>
        </w:rPr>
        <w:t>第二十七条</w:t>
      </w:r>
      <w:r>
        <w:rPr>
          <w:rFonts w:hint="eastAsia" w:eastAsia="楷体_GB2312"/>
          <w:spacing w:val="0"/>
        </w:rPr>
        <w:t xml:space="preserve"> </w:t>
      </w:r>
      <w:r>
        <w:rPr>
          <w:spacing w:val="0"/>
          <w:szCs w:val="32"/>
        </w:rPr>
        <w:t>县（市、区）生态环境部门应将农村生活污水处理设施运行情况的监督检查纳入日常工作</w:t>
      </w:r>
      <w:r>
        <w:rPr>
          <w:rFonts w:hint="eastAsia"/>
          <w:spacing w:val="0"/>
          <w:szCs w:val="32"/>
        </w:rPr>
        <w:t>，发现污水处理设施运行不正常、出水水质不达标等情形的，应依法对运维单位进行查处，并督促采取有效措施限期完成整改</w:t>
      </w:r>
      <w:r>
        <w:rPr>
          <w:spacing w:val="0"/>
          <w:szCs w:val="32"/>
        </w:rPr>
        <w:t>。</w:t>
      </w:r>
    </w:p>
    <w:p>
      <w:pPr>
        <w:overflowPunct w:val="0"/>
        <w:topLinePunct/>
        <w:adjustRightInd w:val="0"/>
        <w:snapToGrid w:val="0"/>
        <w:spacing w:line="600" w:lineRule="exact"/>
        <w:ind w:firstLine="641"/>
        <w:outlineLvl w:val="1"/>
        <w:rPr>
          <w:spacing w:val="0"/>
          <w:szCs w:val="32"/>
        </w:rPr>
      </w:pPr>
      <w:r>
        <w:rPr>
          <w:rFonts w:hint="eastAsia" w:eastAsia="楷体_GB2312"/>
          <w:b/>
          <w:spacing w:val="0"/>
        </w:rPr>
        <w:t>第二十八条</w:t>
      </w:r>
      <w:r>
        <w:rPr>
          <w:rFonts w:hint="eastAsia" w:eastAsia="楷体_GB2312"/>
          <w:spacing w:val="0"/>
        </w:rPr>
        <w:t xml:space="preserve"> </w:t>
      </w:r>
      <w:r>
        <w:rPr>
          <w:spacing w:val="0"/>
          <w:szCs w:val="32"/>
        </w:rPr>
        <w:t>县（市、区）农村生活污水处理设施运维主管部门应</w:t>
      </w:r>
      <w:r>
        <w:rPr>
          <w:rFonts w:hint="eastAsia"/>
          <w:spacing w:val="0"/>
          <w:szCs w:val="32"/>
        </w:rPr>
        <w:t>会同有关部门建立考核评估机制，并组织对本行政区域内农村生活污水处理设施运维单位开展考核评估</w:t>
      </w:r>
      <w:r>
        <w:rPr>
          <w:spacing w:val="0"/>
          <w:szCs w:val="32"/>
        </w:rPr>
        <w:t>，考核结果作为拨付</w:t>
      </w:r>
      <w:r>
        <w:rPr>
          <w:rFonts w:hint="eastAsia"/>
          <w:spacing w:val="0"/>
          <w:szCs w:val="32"/>
        </w:rPr>
        <w:t>经费</w:t>
      </w:r>
      <w:r>
        <w:rPr>
          <w:spacing w:val="0"/>
          <w:szCs w:val="32"/>
        </w:rPr>
        <w:t>的重要依据。</w:t>
      </w:r>
    </w:p>
    <w:p>
      <w:pPr>
        <w:overflowPunct w:val="0"/>
        <w:topLinePunct/>
        <w:spacing w:line="600" w:lineRule="exact"/>
        <w:ind w:firstLine="640"/>
        <w:rPr>
          <w:spacing w:val="0"/>
          <w:szCs w:val="32"/>
        </w:rPr>
      </w:pPr>
    </w:p>
    <w:p>
      <w:pPr>
        <w:overflowPunct w:val="0"/>
        <w:topLinePunct/>
        <w:adjustRightInd w:val="0"/>
        <w:snapToGrid w:val="0"/>
        <w:spacing w:line="600" w:lineRule="exact"/>
        <w:jc w:val="center"/>
        <w:outlineLvl w:val="0"/>
        <w:rPr>
          <w:rFonts w:eastAsia="黑体"/>
          <w:spacing w:val="0"/>
        </w:rPr>
      </w:pPr>
      <w:r>
        <w:rPr>
          <w:rFonts w:hint="eastAsia" w:eastAsia="黑体"/>
          <w:spacing w:val="0"/>
        </w:rPr>
        <w:t>第六章</w:t>
      </w:r>
      <w:r>
        <w:rPr>
          <w:rFonts w:eastAsia="黑体"/>
          <w:spacing w:val="0"/>
        </w:rPr>
        <w:t xml:space="preserve">  </w:t>
      </w:r>
      <w:r>
        <w:rPr>
          <w:rFonts w:hint="eastAsia" w:eastAsia="黑体"/>
          <w:spacing w:val="0"/>
        </w:rPr>
        <w:t>附</w:t>
      </w:r>
      <w:r>
        <w:rPr>
          <w:rFonts w:eastAsia="黑体"/>
          <w:spacing w:val="0"/>
        </w:rPr>
        <w:t xml:space="preserve">  </w:t>
      </w:r>
      <w:r>
        <w:rPr>
          <w:rFonts w:hint="eastAsia" w:eastAsia="黑体"/>
          <w:spacing w:val="0"/>
        </w:rPr>
        <w:t>则</w:t>
      </w:r>
    </w:p>
    <w:p>
      <w:pPr>
        <w:overflowPunct w:val="0"/>
        <w:topLinePunct/>
        <w:adjustRightInd w:val="0"/>
        <w:snapToGrid w:val="0"/>
        <w:spacing w:line="600" w:lineRule="exact"/>
        <w:ind w:firstLine="642" w:firstLineChars="200"/>
        <w:outlineLvl w:val="1"/>
        <w:rPr>
          <w:color w:val="FF0000"/>
          <w:spacing w:val="0"/>
        </w:rPr>
      </w:pPr>
      <w:r>
        <w:rPr>
          <w:rFonts w:hint="eastAsia" w:eastAsia="楷体_GB2312"/>
          <w:b/>
          <w:spacing w:val="0"/>
        </w:rPr>
        <w:t>第二十九条</w:t>
      </w:r>
      <w:r>
        <w:rPr>
          <w:rFonts w:eastAsia="楷体_GB2312"/>
          <w:spacing w:val="0"/>
        </w:rPr>
        <w:t xml:space="preserve"> </w:t>
      </w:r>
      <w:r>
        <w:rPr>
          <w:rFonts w:hint="eastAsia"/>
          <w:color w:val="000000" w:themeColor="text1"/>
          <w:spacing w:val="0"/>
          <w14:textFill>
            <w14:solidFill>
              <w14:schemeClr w14:val="tx1"/>
            </w14:solidFill>
          </w14:textFill>
        </w:rPr>
        <w:t>本办法自2024年</w:t>
      </w:r>
      <w:r>
        <w:rPr>
          <w:color w:val="000000" w:themeColor="text1"/>
          <w:spacing w:val="0"/>
          <w14:textFill>
            <w14:solidFill>
              <w14:schemeClr w14:val="tx1"/>
            </w14:solidFill>
          </w14:textFill>
        </w:rPr>
        <w:t>3</w:t>
      </w:r>
      <w:r>
        <w:rPr>
          <w:rFonts w:hint="eastAsia"/>
          <w:color w:val="000000" w:themeColor="text1"/>
          <w:spacing w:val="0"/>
          <w14:textFill>
            <w14:solidFill>
              <w14:schemeClr w14:val="tx1"/>
            </w14:solidFill>
          </w14:textFill>
        </w:rPr>
        <w:t>月</w:t>
      </w:r>
      <w:r>
        <w:rPr>
          <w:color w:val="000000" w:themeColor="text1"/>
          <w:spacing w:val="0"/>
          <w14:textFill>
            <w14:solidFill>
              <w14:schemeClr w14:val="tx1"/>
            </w14:solidFill>
          </w14:textFill>
        </w:rPr>
        <w:t>1</w:t>
      </w:r>
      <w:r>
        <w:rPr>
          <w:rFonts w:hint="eastAsia"/>
          <w:color w:val="000000" w:themeColor="text1"/>
          <w:spacing w:val="0"/>
          <w14:textFill>
            <w14:solidFill>
              <w14:schemeClr w14:val="tx1"/>
            </w14:solidFill>
          </w14:textFill>
        </w:rPr>
        <w:t>日起施行，有效期五年。原《四川省农村生活污水处理设施运行维护管理办法（试行）》（川环发〔2021〕12号）同时废止</w:t>
      </w:r>
      <w:r>
        <w:rPr>
          <w:color w:val="000000" w:themeColor="text1"/>
          <w:spacing w:val="0"/>
          <w14:textFill>
            <w14:solidFill>
              <w14:schemeClr w14:val="tx1"/>
            </w14:solidFill>
          </w14:textFill>
        </w:rPr>
        <w:t>。</w:t>
      </w:r>
    </w:p>
    <w:p>
      <w:pPr>
        <w:pStyle w:val="2"/>
        <w:spacing w:after="0" w:line="20" w:lineRule="exact"/>
        <w:ind w:left="616" w:firstLine="640"/>
      </w:pPr>
      <w:r>
        <w:rPr>
          <w:rFonts w:hint="eastAsia"/>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128270</wp:posOffset>
                </wp:positionV>
                <wp:extent cx="1162050" cy="428625"/>
                <wp:effectExtent l="0" t="0" r="0" b="9525"/>
                <wp:wrapNone/>
                <wp:docPr id="1" name="矩形 1"/>
                <wp:cNvGraphicFramePr/>
                <a:graphic xmlns:a="http://schemas.openxmlformats.org/drawingml/2006/main">
                  <a:graphicData uri="http://schemas.microsoft.com/office/word/2010/wordprocessingShape">
                    <wps:wsp>
                      <wps:cNvSpPr/>
                      <wps:spPr>
                        <a:xfrm>
                          <a:off x="0" y="0"/>
                          <a:ext cx="1162050" cy="4286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4.6pt;margin-top:10.1pt;height:33.75pt;width:91.5pt;z-index:251659264;v-text-anchor:middle;mso-width-relative:page;mso-height-relative:page;" fillcolor="#FFFFFF [3212]" filled="t" stroked="f" coordsize="21600,21600" o:gfxdata="UEsFBgAAAAAAAAAAAAAAAAAAAAAAAFBLAwQKAAAAAACHTuJAAAAAAAAAAAAAAAAABAAAAGRycy9Q&#10;SwMEFAAAAAgAh07iQOPYN/rSAAAABwEAAA8AAABkcnMvZG93bnJldi54bWxNjsFuwjAQRO+V+g/W&#10;Vuqt2LhVgTQOUitVPRcQ5028JBHxOrINhL/HnNrT7GhGs69cT24QZwqx92xgPlMgiBtve24N7Lbf&#10;L0sQMSFbHDyTgStFWFePDyUW1l/4l86b1Io8wrFAA11KYyFlbDpyGGd+JM7ZwQeHKdvQShvwksfd&#10;ILVS79Jhz/lDhyN9ddQcNydnQKYfOm4nvedX9Yb1Zzjs9qM05vlprj5AJJrSXxnu+BkdqsxU+xPb&#10;KAYDK52LBrTKeo9XOh+1geViAbIq5X/+6gZQSwMEFAAAAAgAh07iQEfL1oNHAgAAdQQAAA4AAABk&#10;cnMvZTJvRG9jLnhtbK1UzY7TMBC+I/EOlu9s2qhdlqjpqtpVEdKKrbQgzlPHbiL5j7HbtLwMEjce&#10;gsdBvAZjN9stPydED+5MZjLfzDefM7veG812EkPnbM3HFyPOpBWu6eym5u/fLV9ccRYi2Aa0s7Lm&#10;Bxn49fz5s1nvK1m61ulGIqMiNlS9r3kbo6+KIohWGggXzktLQeXQQCQXN0WD0FN1o4tyNLoseoeN&#10;RydkCPT09hjk81xfKSnivVJBRqZrTr3FfGI+1+ks5jOoNgi+7cTQBvxDFwY6S6CnUrcQgW2x+6OU&#10;6QS64FS8EM4UTqlOyDwDTTMe/TbNQwte5lmInOBPNIX/V1a83a2QdQ3tjjMLhlb04/PX79++sHHi&#10;pvehopQHv8LBC2SmQfcKTfqnEdg+83k48Sn3kQl6OB5flqMp0S4oNimvLstpKlo8ve0xxNfSGZaM&#10;miPtK9MIu7sQj6mPKQksON01y07r7OBmfaOR7YB2u8y/ofovadqyvubldDJKjQBpTGmIZBpPUwe7&#10;4Qz0hsQrImZs6xICgUOVsG8htEeMXHaA0JbmSOwc+UjW2jUH4hLdUWTBi2VH799BiCtAUhXh002J&#10;93Qo7agpN1ictQ4//e15yqdlU5SznlRKDX/cAkrO9BtLMng1nkySrLMzmb4sycHzyPo8YrfmxhFZ&#10;tGrqLpspP+pHU6EzH+hCLRKqAh0ICKwg/CM9g3MTyR/CdDWFXCxOPsnaQ7yzD17UPOI26Rcq6xbb&#10;6FSXd/pE1sAhaTurYriH6fKc+znr6Wsx/w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Dj2Df60gAA&#10;AAcBAAAPAAAAAAAAAAEAIAAAADgAAABkcnMvZG93bnJldi54bWxQSwECFAAUAAAACACHTuJAR8vW&#10;g0cCAAB1BAAADgAAAAAAAAABACAAAAA3AQAAZHJzL2Uyb0RvYy54bWxQSwUGAAAAAAYABgBZAQAA&#10;8AUAAAAA&#10;">
                <v:fill on="t" focussize="0,0"/>
                <v:stroke on="f" weight="2pt"/>
                <v:imagedata o:title=""/>
                <o:lock v:ext="edit" aspectratio="f"/>
              </v:rect>
            </w:pict>
          </mc:Fallback>
        </mc:AlternateContent>
      </w:r>
    </w:p>
    <w:sectPr>
      <w:footerReference r:id="rId5" w:type="default"/>
      <w:footerReference r:id="rId6" w:type="even"/>
      <w:pgSz w:w="11906" w:h="16838"/>
      <w:pgMar w:top="2098" w:right="1474" w:bottom="1985" w:left="1588" w:header="851" w:footer="1418" w:gutter="0"/>
      <w:cols w:space="425"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0000019F" w:csb1="00000000"/>
  </w:font>
  <w:font w:name="楷体_GB2312">
    <w:panose1 w:val="02010609030101010101"/>
    <w:charset w:val="86"/>
    <w:family w:val="modern"/>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sz w:val="28"/>
        <w:szCs w:val="28"/>
      </w:rPr>
      <w:id w:val="-1021929743"/>
    </w:sdtPr>
    <w:sdtEndPr>
      <w:rPr>
        <w:rFonts w:hint="eastAsia" w:ascii="宋体" w:hAnsi="宋体" w:eastAsia="宋体"/>
        <w:sz w:val="28"/>
        <w:szCs w:val="28"/>
      </w:rPr>
    </w:sdtEndPr>
    <w:sdtContent>
      <w:p>
        <w:pPr>
          <w:pStyle w:val="4"/>
          <w:spacing w:line="240" w:lineRule="auto"/>
          <w:ind w:left="308" w:leftChars="100" w:right="308"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sz w:val="28"/>
        <w:szCs w:val="28"/>
      </w:rPr>
      <w:id w:val="386381146"/>
    </w:sdtPr>
    <w:sdtEndPr>
      <w:rPr>
        <w:rFonts w:hint="eastAsia" w:ascii="宋体" w:hAnsi="宋体" w:eastAsia="宋体"/>
        <w:sz w:val="28"/>
        <w:szCs w:val="28"/>
      </w:rPr>
    </w:sdtEndPr>
    <w:sdtContent>
      <w:p>
        <w:pPr>
          <w:pStyle w:val="4"/>
          <w:spacing w:line="240" w:lineRule="auto"/>
          <w:ind w:left="308" w:leftChars="100" w:right="308" w:right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D62674"/>
    <w:multiLevelType w:val="multilevel"/>
    <w:tmpl w:val="40D62674"/>
    <w:lvl w:ilvl="0" w:tentative="0">
      <w:start w:val="1"/>
      <w:numFmt w:val="decimal"/>
      <w:pStyle w:val="6"/>
      <w:isLgl/>
      <w:suff w:val="space"/>
      <w:lvlText w:val="%1"/>
      <w:lvlJc w:val="left"/>
      <w:pPr>
        <w:ind w:left="0" w:firstLine="0"/>
      </w:pPr>
      <w:rPr>
        <w:rFonts w:hint="eastAsia"/>
      </w:rPr>
    </w:lvl>
    <w:lvl w:ilvl="1" w:tentative="0">
      <w:start w:val="1"/>
      <w:numFmt w:val="decimal"/>
      <w:pStyle w:val="50"/>
      <w:isLgl/>
      <w:suff w:val="space"/>
      <w:lvlText w:val="%1.%2"/>
      <w:lvlJc w:val="left"/>
      <w:pPr>
        <w:ind w:left="0" w:firstLine="0"/>
      </w:pPr>
      <w:rPr>
        <w:rFonts w:hint="eastAsia"/>
      </w:rPr>
    </w:lvl>
    <w:lvl w:ilvl="2" w:tentative="0">
      <w:start w:val="1"/>
      <w:numFmt w:val="decimal"/>
      <w:pStyle w:val="8"/>
      <w:isLgl/>
      <w:suff w:val="space"/>
      <w:lvlText w:val="%1.%2.%3"/>
      <w:lvlJc w:val="left"/>
      <w:pPr>
        <w:ind w:left="0" w:firstLine="0"/>
      </w:pPr>
      <w:rPr>
        <w:rFonts w:hint="eastAsia"/>
      </w:rPr>
    </w:lvl>
    <w:lvl w:ilvl="3" w:tentative="0">
      <w:start w:val="1"/>
      <w:numFmt w:val="decimal"/>
      <w:pStyle w:val="52"/>
      <w:isLgl/>
      <w:suff w:val="space"/>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val="true"/>
  <w:drawingGridHorizontalSpacing w:val="154"/>
  <w:drawingGridVerticalSpacing w:val="43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mOTIxN2E4NTk2ZGI3NzA1NDU5ZmQ5NjI5ZmQ4N2YifQ=="/>
  </w:docVars>
  <w:rsids>
    <w:rsidRoot w:val="16E401CC"/>
    <w:rsid w:val="00010240"/>
    <w:rsid w:val="00014694"/>
    <w:rsid w:val="000225AA"/>
    <w:rsid w:val="000308F3"/>
    <w:rsid w:val="00030CD9"/>
    <w:rsid w:val="000318F7"/>
    <w:rsid w:val="00032AB6"/>
    <w:rsid w:val="00037784"/>
    <w:rsid w:val="000433D7"/>
    <w:rsid w:val="00044799"/>
    <w:rsid w:val="00063BA1"/>
    <w:rsid w:val="00063C9B"/>
    <w:rsid w:val="00065F79"/>
    <w:rsid w:val="00067C51"/>
    <w:rsid w:val="00070D76"/>
    <w:rsid w:val="00071E7F"/>
    <w:rsid w:val="00074F1F"/>
    <w:rsid w:val="00075312"/>
    <w:rsid w:val="00076FD4"/>
    <w:rsid w:val="000774A1"/>
    <w:rsid w:val="000817A2"/>
    <w:rsid w:val="00083D9F"/>
    <w:rsid w:val="00085E1F"/>
    <w:rsid w:val="00091A42"/>
    <w:rsid w:val="00091E23"/>
    <w:rsid w:val="00095A4F"/>
    <w:rsid w:val="00096753"/>
    <w:rsid w:val="000A34F1"/>
    <w:rsid w:val="000A7054"/>
    <w:rsid w:val="000B1433"/>
    <w:rsid w:val="000B43DE"/>
    <w:rsid w:val="000C4477"/>
    <w:rsid w:val="000C5C43"/>
    <w:rsid w:val="000C6FE7"/>
    <w:rsid w:val="000D0582"/>
    <w:rsid w:val="000D0906"/>
    <w:rsid w:val="000D1C00"/>
    <w:rsid w:val="000D1DFB"/>
    <w:rsid w:val="000D622E"/>
    <w:rsid w:val="000E0324"/>
    <w:rsid w:val="000E04BD"/>
    <w:rsid w:val="000E3283"/>
    <w:rsid w:val="000E3B73"/>
    <w:rsid w:val="000F45FD"/>
    <w:rsid w:val="00101792"/>
    <w:rsid w:val="001025B9"/>
    <w:rsid w:val="00107498"/>
    <w:rsid w:val="00111838"/>
    <w:rsid w:val="00116879"/>
    <w:rsid w:val="001215A6"/>
    <w:rsid w:val="00121A38"/>
    <w:rsid w:val="0012354E"/>
    <w:rsid w:val="00124216"/>
    <w:rsid w:val="00127078"/>
    <w:rsid w:val="00130136"/>
    <w:rsid w:val="0013342D"/>
    <w:rsid w:val="00134EEE"/>
    <w:rsid w:val="00136178"/>
    <w:rsid w:val="00140E61"/>
    <w:rsid w:val="001411A1"/>
    <w:rsid w:val="00144CBA"/>
    <w:rsid w:val="00153ECE"/>
    <w:rsid w:val="00154F24"/>
    <w:rsid w:val="0015700D"/>
    <w:rsid w:val="00164492"/>
    <w:rsid w:val="00166056"/>
    <w:rsid w:val="001679C1"/>
    <w:rsid w:val="001700C3"/>
    <w:rsid w:val="00172810"/>
    <w:rsid w:val="0017499C"/>
    <w:rsid w:val="00180A0D"/>
    <w:rsid w:val="00180B3F"/>
    <w:rsid w:val="001832AB"/>
    <w:rsid w:val="00184103"/>
    <w:rsid w:val="001901EF"/>
    <w:rsid w:val="00194065"/>
    <w:rsid w:val="0019414D"/>
    <w:rsid w:val="00194E08"/>
    <w:rsid w:val="00195580"/>
    <w:rsid w:val="001977F2"/>
    <w:rsid w:val="001A2C85"/>
    <w:rsid w:val="001A4C29"/>
    <w:rsid w:val="001A57A3"/>
    <w:rsid w:val="001B04BC"/>
    <w:rsid w:val="001B2DC5"/>
    <w:rsid w:val="001B5D4D"/>
    <w:rsid w:val="001B5F29"/>
    <w:rsid w:val="001C0CF3"/>
    <w:rsid w:val="001C63ED"/>
    <w:rsid w:val="001D1F35"/>
    <w:rsid w:val="001D4184"/>
    <w:rsid w:val="001E15B1"/>
    <w:rsid w:val="001F0074"/>
    <w:rsid w:val="001F04F0"/>
    <w:rsid w:val="001F534D"/>
    <w:rsid w:val="001F56BC"/>
    <w:rsid w:val="001F6468"/>
    <w:rsid w:val="002046A6"/>
    <w:rsid w:val="002067F6"/>
    <w:rsid w:val="00210E1D"/>
    <w:rsid w:val="002157FB"/>
    <w:rsid w:val="00222E4F"/>
    <w:rsid w:val="00223157"/>
    <w:rsid w:val="00226265"/>
    <w:rsid w:val="002334DA"/>
    <w:rsid w:val="00233BDF"/>
    <w:rsid w:val="0023514A"/>
    <w:rsid w:val="00235994"/>
    <w:rsid w:val="002447D7"/>
    <w:rsid w:val="00251CFA"/>
    <w:rsid w:val="002557B4"/>
    <w:rsid w:val="00257768"/>
    <w:rsid w:val="00262E3F"/>
    <w:rsid w:val="00263FC5"/>
    <w:rsid w:val="00265C09"/>
    <w:rsid w:val="002776F4"/>
    <w:rsid w:val="0028053A"/>
    <w:rsid w:val="00280CC0"/>
    <w:rsid w:val="00286144"/>
    <w:rsid w:val="00290B42"/>
    <w:rsid w:val="00291CDF"/>
    <w:rsid w:val="00294D0B"/>
    <w:rsid w:val="00297469"/>
    <w:rsid w:val="00297C74"/>
    <w:rsid w:val="002A18CF"/>
    <w:rsid w:val="002A282D"/>
    <w:rsid w:val="002A5B42"/>
    <w:rsid w:val="002B0FA5"/>
    <w:rsid w:val="002B370C"/>
    <w:rsid w:val="002B3E0D"/>
    <w:rsid w:val="002C378C"/>
    <w:rsid w:val="002C5BD2"/>
    <w:rsid w:val="002D59D1"/>
    <w:rsid w:val="002E1EF3"/>
    <w:rsid w:val="002F07A7"/>
    <w:rsid w:val="002F5336"/>
    <w:rsid w:val="002F5872"/>
    <w:rsid w:val="002F72A7"/>
    <w:rsid w:val="00300C08"/>
    <w:rsid w:val="003013A5"/>
    <w:rsid w:val="00311A75"/>
    <w:rsid w:val="00315D7F"/>
    <w:rsid w:val="0032315B"/>
    <w:rsid w:val="003243CD"/>
    <w:rsid w:val="0032441B"/>
    <w:rsid w:val="00330329"/>
    <w:rsid w:val="00334638"/>
    <w:rsid w:val="00343D93"/>
    <w:rsid w:val="00350FB0"/>
    <w:rsid w:val="003540B6"/>
    <w:rsid w:val="00360EF9"/>
    <w:rsid w:val="0036557D"/>
    <w:rsid w:val="00366CFE"/>
    <w:rsid w:val="00366FEC"/>
    <w:rsid w:val="0036769F"/>
    <w:rsid w:val="00372231"/>
    <w:rsid w:val="003822E9"/>
    <w:rsid w:val="00382AA9"/>
    <w:rsid w:val="003913A2"/>
    <w:rsid w:val="00392A1C"/>
    <w:rsid w:val="00395FF5"/>
    <w:rsid w:val="003A2E3D"/>
    <w:rsid w:val="003C012B"/>
    <w:rsid w:val="003C030A"/>
    <w:rsid w:val="003C1D5C"/>
    <w:rsid w:val="003C3352"/>
    <w:rsid w:val="003C3742"/>
    <w:rsid w:val="003C38D9"/>
    <w:rsid w:val="003C5554"/>
    <w:rsid w:val="003D291F"/>
    <w:rsid w:val="003E6B13"/>
    <w:rsid w:val="003E7F77"/>
    <w:rsid w:val="003F290F"/>
    <w:rsid w:val="003F2B4F"/>
    <w:rsid w:val="003F758E"/>
    <w:rsid w:val="003F7EDB"/>
    <w:rsid w:val="004046FC"/>
    <w:rsid w:val="00406A07"/>
    <w:rsid w:val="00411785"/>
    <w:rsid w:val="004154B7"/>
    <w:rsid w:val="0042255B"/>
    <w:rsid w:val="00422F85"/>
    <w:rsid w:val="00425883"/>
    <w:rsid w:val="004325E7"/>
    <w:rsid w:val="004345A7"/>
    <w:rsid w:val="00436257"/>
    <w:rsid w:val="00443387"/>
    <w:rsid w:val="00445FC9"/>
    <w:rsid w:val="00447977"/>
    <w:rsid w:val="00447FB8"/>
    <w:rsid w:val="00453312"/>
    <w:rsid w:val="0045444F"/>
    <w:rsid w:val="00454E81"/>
    <w:rsid w:val="0046214A"/>
    <w:rsid w:val="00462600"/>
    <w:rsid w:val="0046474B"/>
    <w:rsid w:val="004661F2"/>
    <w:rsid w:val="00466E8A"/>
    <w:rsid w:val="00471EC3"/>
    <w:rsid w:val="00473124"/>
    <w:rsid w:val="0048566A"/>
    <w:rsid w:val="004859B6"/>
    <w:rsid w:val="00485C56"/>
    <w:rsid w:val="004950DB"/>
    <w:rsid w:val="004A24E4"/>
    <w:rsid w:val="004A2DFE"/>
    <w:rsid w:val="004A6A61"/>
    <w:rsid w:val="004B637C"/>
    <w:rsid w:val="004B638B"/>
    <w:rsid w:val="004C3B38"/>
    <w:rsid w:val="004C49C5"/>
    <w:rsid w:val="004C5E51"/>
    <w:rsid w:val="004C6E9A"/>
    <w:rsid w:val="004C726B"/>
    <w:rsid w:val="004D3972"/>
    <w:rsid w:val="004D4977"/>
    <w:rsid w:val="004D746B"/>
    <w:rsid w:val="004D7AB3"/>
    <w:rsid w:val="004E11C9"/>
    <w:rsid w:val="004E16CB"/>
    <w:rsid w:val="004E440E"/>
    <w:rsid w:val="004E4440"/>
    <w:rsid w:val="004F1741"/>
    <w:rsid w:val="004F1EE9"/>
    <w:rsid w:val="004F28B4"/>
    <w:rsid w:val="004F28EF"/>
    <w:rsid w:val="004F5243"/>
    <w:rsid w:val="00501E36"/>
    <w:rsid w:val="00503148"/>
    <w:rsid w:val="00504879"/>
    <w:rsid w:val="00506E69"/>
    <w:rsid w:val="005223F2"/>
    <w:rsid w:val="00523391"/>
    <w:rsid w:val="005249DA"/>
    <w:rsid w:val="005253EA"/>
    <w:rsid w:val="0053342B"/>
    <w:rsid w:val="00534D66"/>
    <w:rsid w:val="00534E59"/>
    <w:rsid w:val="00536AFB"/>
    <w:rsid w:val="0054198F"/>
    <w:rsid w:val="00544BAB"/>
    <w:rsid w:val="00545A28"/>
    <w:rsid w:val="005527BC"/>
    <w:rsid w:val="005539FA"/>
    <w:rsid w:val="005638C7"/>
    <w:rsid w:val="005650C0"/>
    <w:rsid w:val="00565777"/>
    <w:rsid w:val="005706BB"/>
    <w:rsid w:val="005727C2"/>
    <w:rsid w:val="0057497A"/>
    <w:rsid w:val="00574AA9"/>
    <w:rsid w:val="005765D4"/>
    <w:rsid w:val="00580C64"/>
    <w:rsid w:val="0059059F"/>
    <w:rsid w:val="00591C19"/>
    <w:rsid w:val="005A2CB1"/>
    <w:rsid w:val="005A3833"/>
    <w:rsid w:val="005B0390"/>
    <w:rsid w:val="005B0666"/>
    <w:rsid w:val="005B0E77"/>
    <w:rsid w:val="005B3526"/>
    <w:rsid w:val="005B6264"/>
    <w:rsid w:val="005C25BD"/>
    <w:rsid w:val="005C3171"/>
    <w:rsid w:val="005C3B73"/>
    <w:rsid w:val="005C7043"/>
    <w:rsid w:val="005D2BB6"/>
    <w:rsid w:val="005D7FE8"/>
    <w:rsid w:val="005E058D"/>
    <w:rsid w:val="005E199D"/>
    <w:rsid w:val="005E22CF"/>
    <w:rsid w:val="005E6082"/>
    <w:rsid w:val="005E6C50"/>
    <w:rsid w:val="005F243A"/>
    <w:rsid w:val="005F57A7"/>
    <w:rsid w:val="005F5891"/>
    <w:rsid w:val="005F7B23"/>
    <w:rsid w:val="006029C9"/>
    <w:rsid w:val="00603106"/>
    <w:rsid w:val="00603A11"/>
    <w:rsid w:val="00605D53"/>
    <w:rsid w:val="00605E27"/>
    <w:rsid w:val="00607C1C"/>
    <w:rsid w:val="006116E3"/>
    <w:rsid w:val="00611CA0"/>
    <w:rsid w:val="006207FC"/>
    <w:rsid w:val="00621F7C"/>
    <w:rsid w:val="00622082"/>
    <w:rsid w:val="00622391"/>
    <w:rsid w:val="00623ADF"/>
    <w:rsid w:val="006279D2"/>
    <w:rsid w:val="006355F6"/>
    <w:rsid w:val="006360DD"/>
    <w:rsid w:val="00636897"/>
    <w:rsid w:val="0064021D"/>
    <w:rsid w:val="00641DF3"/>
    <w:rsid w:val="00643041"/>
    <w:rsid w:val="006436E0"/>
    <w:rsid w:val="00650CB0"/>
    <w:rsid w:val="00653285"/>
    <w:rsid w:val="00660210"/>
    <w:rsid w:val="00662747"/>
    <w:rsid w:val="006633C4"/>
    <w:rsid w:val="00664374"/>
    <w:rsid w:val="00665646"/>
    <w:rsid w:val="00667899"/>
    <w:rsid w:val="00667B02"/>
    <w:rsid w:val="00671C59"/>
    <w:rsid w:val="00671EFB"/>
    <w:rsid w:val="00673CDA"/>
    <w:rsid w:val="00676A2B"/>
    <w:rsid w:val="00684067"/>
    <w:rsid w:val="00686B03"/>
    <w:rsid w:val="0069568B"/>
    <w:rsid w:val="006A1C25"/>
    <w:rsid w:val="006A31DB"/>
    <w:rsid w:val="006A38A0"/>
    <w:rsid w:val="006A6332"/>
    <w:rsid w:val="006B1E0B"/>
    <w:rsid w:val="006B2F99"/>
    <w:rsid w:val="006B6F30"/>
    <w:rsid w:val="006B6FE2"/>
    <w:rsid w:val="006C20D3"/>
    <w:rsid w:val="006C32B0"/>
    <w:rsid w:val="006D1FAD"/>
    <w:rsid w:val="006D22C8"/>
    <w:rsid w:val="006E2B35"/>
    <w:rsid w:val="006E4E98"/>
    <w:rsid w:val="006F02D4"/>
    <w:rsid w:val="006F0A70"/>
    <w:rsid w:val="006F1416"/>
    <w:rsid w:val="006F630C"/>
    <w:rsid w:val="006F7458"/>
    <w:rsid w:val="00705550"/>
    <w:rsid w:val="00706699"/>
    <w:rsid w:val="00707A49"/>
    <w:rsid w:val="007125D1"/>
    <w:rsid w:val="00716A6F"/>
    <w:rsid w:val="00723A51"/>
    <w:rsid w:val="00723B2A"/>
    <w:rsid w:val="00727065"/>
    <w:rsid w:val="007360CF"/>
    <w:rsid w:val="00736336"/>
    <w:rsid w:val="00736673"/>
    <w:rsid w:val="00741A97"/>
    <w:rsid w:val="00741F85"/>
    <w:rsid w:val="007423F4"/>
    <w:rsid w:val="007445D9"/>
    <w:rsid w:val="007561D6"/>
    <w:rsid w:val="00762DA3"/>
    <w:rsid w:val="007644F9"/>
    <w:rsid w:val="00764E8B"/>
    <w:rsid w:val="00765C9F"/>
    <w:rsid w:val="007663F6"/>
    <w:rsid w:val="00767CAD"/>
    <w:rsid w:val="007703D9"/>
    <w:rsid w:val="007709B1"/>
    <w:rsid w:val="00772565"/>
    <w:rsid w:val="00773BE9"/>
    <w:rsid w:val="00775A6E"/>
    <w:rsid w:val="00783916"/>
    <w:rsid w:val="00784A6F"/>
    <w:rsid w:val="00787DD2"/>
    <w:rsid w:val="00793D04"/>
    <w:rsid w:val="00797A74"/>
    <w:rsid w:val="007A07A4"/>
    <w:rsid w:val="007A0E37"/>
    <w:rsid w:val="007A237E"/>
    <w:rsid w:val="007A61B6"/>
    <w:rsid w:val="007B4183"/>
    <w:rsid w:val="007B79C5"/>
    <w:rsid w:val="007C7E1D"/>
    <w:rsid w:val="007D3997"/>
    <w:rsid w:val="007D54CD"/>
    <w:rsid w:val="007D6EF7"/>
    <w:rsid w:val="007E22DA"/>
    <w:rsid w:val="007E3544"/>
    <w:rsid w:val="007E7497"/>
    <w:rsid w:val="007F06CA"/>
    <w:rsid w:val="007F081A"/>
    <w:rsid w:val="007F13BC"/>
    <w:rsid w:val="007F4C2E"/>
    <w:rsid w:val="00802A0C"/>
    <w:rsid w:val="00815234"/>
    <w:rsid w:val="00824529"/>
    <w:rsid w:val="0082540D"/>
    <w:rsid w:val="00832F42"/>
    <w:rsid w:val="00832FB4"/>
    <w:rsid w:val="008376F4"/>
    <w:rsid w:val="00851E9C"/>
    <w:rsid w:val="0085213C"/>
    <w:rsid w:val="00855CCF"/>
    <w:rsid w:val="00856105"/>
    <w:rsid w:val="00856A6A"/>
    <w:rsid w:val="00857307"/>
    <w:rsid w:val="00860531"/>
    <w:rsid w:val="008643F8"/>
    <w:rsid w:val="008658F8"/>
    <w:rsid w:val="008708DE"/>
    <w:rsid w:val="008761AC"/>
    <w:rsid w:val="008837AD"/>
    <w:rsid w:val="008855A4"/>
    <w:rsid w:val="00886521"/>
    <w:rsid w:val="008969C5"/>
    <w:rsid w:val="008A02E9"/>
    <w:rsid w:val="008A0735"/>
    <w:rsid w:val="008A2FA5"/>
    <w:rsid w:val="008A3D58"/>
    <w:rsid w:val="008B29DE"/>
    <w:rsid w:val="008B4B55"/>
    <w:rsid w:val="008C177A"/>
    <w:rsid w:val="008C2A21"/>
    <w:rsid w:val="008C6045"/>
    <w:rsid w:val="008F06AD"/>
    <w:rsid w:val="008F1CFD"/>
    <w:rsid w:val="008F30C7"/>
    <w:rsid w:val="0090124F"/>
    <w:rsid w:val="009036EC"/>
    <w:rsid w:val="0091188D"/>
    <w:rsid w:val="00912D74"/>
    <w:rsid w:val="009155FC"/>
    <w:rsid w:val="009212A7"/>
    <w:rsid w:val="0092292D"/>
    <w:rsid w:val="00922F5B"/>
    <w:rsid w:val="009377F6"/>
    <w:rsid w:val="00940661"/>
    <w:rsid w:val="00942822"/>
    <w:rsid w:val="00962764"/>
    <w:rsid w:val="00964708"/>
    <w:rsid w:val="00971B6A"/>
    <w:rsid w:val="00971E6D"/>
    <w:rsid w:val="00973B24"/>
    <w:rsid w:val="00980A93"/>
    <w:rsid w:val="0098375A"/>
    <w:rsid w:val="0098624B"/>
    <w:rsid w:val="00987690"/>
    <w:rsid w:val="009954BA"/>
    <w:rsid w:val="009A626A"/>
    <w:rsid w:val="009B00DA"/>
    <w:rsid w:val="009C0900"/>
    <w:rsid w:val="009C2B0A"/>
    <w:rsid w:val="009D08DF"/>
    <w:rsid w:val="009D5089"/>
    <w:rsid w:val="009D69A1"/>
    <w:rsid w:val="009D6DA8"/>
    <w:rsid w:val="009D775D"/>
    <w:rsid w:val="009E06A8"/>
    <w:rsid w:val="009E2C20"/>
    <w:rsid w:val="009E2E6F"/>
    <w:rsid w:val="009E3EEC"/>
    <w:rsid w:val="009E5254"/>
    <w:rsid w:val="009E6054"/>
    <w:rsid w:val="009F01F5"/>
    <w:rsid w:val="009F236D"/>
    <w:rsid w:val="009F2E05"/>
    <w:rsid w:val="009F3C41"/>
    <w:rsid w:val="009F56A7"/>
    <w:rsid w:val="00A00C84"/>
    <w:rsid w:val="00A01CED"/>
    <w:rsid w:val="00A07B23"/>
    <w:rsid w:val="00A11AF9"/>
    <w:rsid w:val="00A141C1"/>
    <w:rsid w:val="00A17CB9"/>
    <w:rsid w:val="00A20402"/>
    <w:rsid w:val="00A23DBA"/>
    <w:rsid w:val="00A26190"/>
    <w:rsid w:val="00A30487"/>
    <w:rsid w:val="00A3170B"/>
    <w:rsid w:val="00A363A5"/>
    <w:rsid w:val="00A40D3A"/>
    <w:rsid w:val="00A42813"/>
    <w:rsid w:val="00A4430C"/>
    <w:rsid w:val="00A473A5"/>
    <w:rsid w:val="00A517CF"/>
    <w:rsid w:val="00A53E4A"/>
    <w:rsid w:val="00A636B8"/>
    <w:rsid w:val="00A64A13"/>
    <w:rsid w:val="00A673A8"/>
    <w:rsid w:val="00A72C5F"/>
    <w:rsid w:val="00A77D14"/>
    <w:rsid w:val="00A811A4"/>
    <w:rsid w:val="00A82F7E"/>
    <w:rsid w:val="00A8612D"/>
    <w:rsid w:val="00A87ECF"/>
    <w:rsid w:val="00A9260B"/>
    <w:rsid w:val="00A973B7"/>
    <w:rsid w:val="00AA507B"/>
    <w:rsid w:val="00AB117B"/>
    <w:rsid w:val="00AB2F0B"/>
    <w:rsid w:val="00AB6B94"/>
    <w:rsid w:val="00AB79C9"/>
    <w:rsid w:val="00AC3F90"/>
    <w:rsid w:val="00AD4CC2"/>
    <w:rsid w:val="00AD591F"/>
    <w:rsid w:val="00AE204B"/>
    <w:rsid w:val="00AE4661"/>
    <w:rsid w:val="00AE6460"/>
    <w:rsid w:val="00AF3E59"/>
    <w:rsid w:val="00AF519E"/>
    <w:rsid w:val="00B02A24"/>
    <w:rsid w:val="00B0597D"/>
    <w:rsid w:val="00B10252"/>
    <w:rsid w:val="00B1766F"/>
    <w:rsid w:val="00B2082C"/>
    <w:rsid w:val="00B233C9"/>
    <w:rsid w:val="00B25471"/>
    <w:rsid w:val="00B26BDA"/>
    <w:rsid w:val="00B320D7"/>
    <w:rsid w:val="00B32326"/>
    <w:rsid w:val="00B3733F"/>
    <w:rsid w:val="00B37FB6"/>
    <w:rsid w:val="00B41EE3"/>
    <w:rsid w:val="00B42500"/>
    <w:rsid w:val="00B44D6A"/>
    <w:rsid w:val="00B502EB"/>
    <w:rsid w:val="00B52D90"/>
    <w:rsid w:val="00B62043"/>
    <w:rsid w:val="00B646B5"/>
    <w:rsid w:val="00B71BB0"/>
    <w:rsid w:val="00B725BF"/>
    <w:rsid w:val="00B80AA6"/>
    <w:rsid w:val="00B81057"/>
    <w:rsid w:val="00B81E79"/>
    <w:rsid w:val="00B82449"/>
    <w:rsid w:val="00B913A8"/>
    <w:rsid w:val="00B9148B"/>
    <w:rsid w:val="00B935D6"/>
    <w:rsid w:val="00B961CF"/>
    <w:rsid w:val="00BA0BC8"/>
    <w:rsid w:val="00BA318B"/>
    <w:rsid w:val="00BA5AEC"/>
    <w:rsid w:val="00BB3193"/>
    <w:rsid w:val="00BB49DD"/>
    <w:rsid w:val="00BB51B7"/>
    <w:rsid w:val="00BB6A47"/>
    <w:rsid w:val="00BB6BCA"/>
    <w:rsid w:val="00BC3E46"/>
    <w:rsid w:val="00BC7EFD"/>
    <w:rsid w:val="00BD469C"/>
    <w:rsid w:val="00BD4DC8"/>
    <w:rsid w:val="00BD536D"/>
    <w:rsid w:val="00BD54E5"/>
    <w:rsid w:val="00BD62E3"/>
    <w:rsid w:val="00BE4197"/>
    <w:rsid w:val="00BF3354"/>
    <w:rsid w:val="00BF5A65"/>
    <w:rsid w:val="00C032E7"/>
    <w:rsid w:val="00C0497A"/>
    <w:rsid w:val="00C04B8C"/>
    <w:rsid w:val="00C14625"/>
    <w:rsid w:val="00C1567A"/>
    <w:rsid w:val="00C171A7"/>
    <w:rsid w:val="00C2436C"/>
    <w:rsid w:val="00C2627A"/>
    <w:rsid w:val="00C2769B"/>
    <w:rsid w:val="00C27A82"/>
    <w:rsid w:val="00C31DDB"/>
    <w:rsid w:val="00C325A1"/>
    <w:rsid w:val="00C428C2"/>
    <w:rsid w:val="00C46808"/>
    <w:rsid w:val="00C51733"/>
    <w:rsid w:val="00C5528C"/>
    <w:rsid w:val="00C5709A"/>
    <w:rsid w:val="00C61B8B"/>
    <w:rsid w:val="00C62CAD"/>
    <w:rsid w:val="00C651AB"/>
    <w:rsid w:val="00C66279"/>
    <w:rsid w:val="00C666B5"/>
    <w:rsid w:val="00C732D3"/>
    <w:rsid w:val="00C90092"/>
    <w:rsid w:val="00C90589"/>
    <w:rsid w:val="00C92883"/>
    <w:rsid w:val="00C9498E"/>
    <w:rsid w:val="00CA25A0"/>
    <w:rsid w:val="00CA2AE9"/>
    <w:rsid w:val="00CA5759"/>
    <w:rsid w:val="00CA7C82"/>
    <w:rsid w:val="00CB0E1F"/>
    <w:rsid w:val="00CB4D99"/>
    <w:rsid w:val="00CB6A0C"/>
    <w:rsid w:val="00CB711C"/>
    <w:rsid w:val="00CD3CB3"/>
    <w:rsid w:val="00CE23BB"/>
    <w:rsid w:val="00CF2ECD"/>
    <w:rsid w:val="00CF398E"/>
    <w:rsid w:val="00CF6847"/>
    <w:rsid w:val="00D00FCF"/>
    <w:rsid w:val="00D0137B"/>
    <w:rsid w:val="00D11451"/>
    <w:rsid w:val="00D12997"/>
    <w:rsid w:val="00D12DBF"/>
    <w:rsid w:val="00D22800"/>
    <w:rsid w:val="00D240FE"/>
    <w:rsid w:val="00D24270"/>
    <w:rsid w:val="00D317CD"/>
    <w:rsid w:val="00D33AC7"/>
    <w:rsid w:val="00D43CF4"/>
    <w:rsid w:val="00D504EF"/>
    <w:rsid w:val="00D507B2"/>
    <w:rsid w:val="00D53236"/>
    <w:rsid w:val="00D55093"/>
    <w:rsid w:val="00D55B1A"/>
    <w:rsid w:val="00D6093F"/>
    <w:rsid w:val="00D675D6"/>
    <w:rsid w:val="00D71F3B"/>
    <w:rsid w:val="00D7234F"/>
    <w:rsid w:val="00D74A32"/>
    <w:rsid w:val="00D827D6"/>
    <w:rsid w:val="00D83747"/>
    <w:rsid w:val="00D8436C"/>
    <w:rsid w:val="00D84A85"/>
    <w:rsid w:val="00D862F6"/>
    <w:rsid w:val="00D86978"/>
    <w:rsid w:val="00D958A9"/>
    <w:rsid w:val="00DA14C4"/>
    <w:rsid w:val="00DA1E51"/>
    <w:rsid w:val="00DB2763"/>
    <w:rsid w:val="00DB2C4D"/>
    <w:rsid w:val="00DB61C3"/>
    <w:rsid w:val="00DB6E75"/>
    <w:rsid w:val="00DC1C83"/>
    <w:rsid w:val="00DC4B21"/>
    <w:rsid w:val="00DC600B"/>
    <w:rsid w:val="00DC704B"/>
    <w:rsid w:val="00DD1271"/>
    <w:rsid w:val="00DD1758"/>
    <w:rsid w:val="00DD2396"/>
    <w:rsid w:val="00DD3D31"/>
    <w:rsid w:val="00DD4728"/>
    <w:rsid w:val="00DD5FDC"/>
    <w:rsid w:val="00DD72B1"/>
    <w:rsid w:val="00DE2428"/>
    <w:rsid w:val="00DE3370"/>
    <w:rsid w:val="00DE4817"/>
    <w:rsid w:val="00DF274B"/>
    <w:rsid w:val="00DF39A9"/>
    <w:rsid w:val="00DF43F5"/>
    <w:rsid w:val="00E00C10"/>
    <w:rsid w:val="00E03155"/>
    <w:rsid w:val="00E037E2"/>
    <w:rsid w:val="00E060F9"/>
    <w:rsid w:val="00E075A0"/>
    <w:rsid w:val="00E13CAF"/>
    <w:rsid w:val="00E142DC"/>
    <w:rsid w:val="00E1557A"/>
    <w:rsid w:val="00E156DC"/>
    <w:rsid w:val="00E164AE"/>
    <w:rsid w:val="00E200DB"/>
    <w:rsid w:val="00E27321"/>
    <w:rsid w:val="00E30E32"/>
    <w:rsid w:val="00E319D0"/>
    <w:rsid w:val="00E36EA1"/>
    <w:rsid w:val="00E572E3"/>
    <w:rsid w:val="00E74122"/>
    <w:rsid w:val="00E7540D"/>
    <w:rsid w:val="00E825CD"/>
    <w:rsid w:val="00E87288"/>
    <w:rsid w:val="00E96BC0"/>
    <w:rsid w:val="00EA13DE"/>
    <w:rsid w:val="00EB044D"/>
    <w:rsid w:val="00EB40A9"/>
    <w:rsid w:val="00EB5330"/>
    <w:rsid w:val="00EB5637"/>
    <w:rsid w:val="00ED09F1"/>
    <w:rsid w:val="00EE28A6"/>
    <w:rsid w:val="00EE3526"/>
    <w:rsid w:val="00EE3A33"/>
    <w:rsid w:val="00EE5874"/>
    <w:rsid w:val="00EF253E"/>
    <w:rsid w:val="00F10C47"/>
    <w:rsid w:val="00F124FA"/>
    <w:rsid w:val="00F13F0B"/>
    <w:rsid w:val="00F143E7"/>
    <w:rsid w:val="00F15B2C"/>
    <w:rsid w:val="00F161F2"/>
    <w:rsid w:val="00F16662"/>
    <w:rsid w:val="00F2546A"/>
    <w:rsid w:val="00F3142B"/>
    <w:rsid w:val="00F32D04"/>
    <w:rsid w:val="00F36F62"/>
    <w:rsid w:val="00F37E81"/>
    <w:rsid w:val="00F40388"/>
    <w:rsid w:val="00F53564"/>
    <w:rsid w:val="00F5516F"/>
    <w:rsid w:val="00F556FA"/>
    <w:rsid w:val="00F55F6D"/>
    <w:rsid w:val="00F57AD4"/>
    <w:rsid w:val="00F62198"/>
    <w:rsid w:val="00F66186"/>
    <w:rsid w:val="00F732C7"/>
    <w:rsid w:val="00F76975"/>
    <w:rsid w:val="00F7776C"/>
    <w:rsid w:val="00F779BC"/>
    <w:rsid w:val="00F8531B"/>
    <w:rsid w:val="00F9594E"/>
    <w:rsid w:val="00FA3277"/>
    <w:rsid w:val="00FA32E5"/>
    <w:rsid w:val="00FB09ED"/>
    <w:rsid w:val="00FB3D39"/>
    <w:rsid w:val="00FB68B5"/>
    <w:rsid w:val="00FB79DA"/>
    <w:rsid w:val="00FC03B5"/>
    <w:rsid w:val="00FC2C4A"/>
    <w:rsid w:val="00FC3BC7"/>
    <w:rsid w:val="00FC7D9A"/>
    <w:rsid w:val="00FD4CE0"/>
    <w:rsid w:val="00FD6CBA"/>
    <w:rsid w:val="00FE457A"/>
    <w:rsid w:val="00FE4C2C"/>
    <w:rsid w:val="00FF07EB"/>
    <w:rsid w:val="01856881"/>
    <w:rsid w:val="036D17E8"/>
    <w:rsid w:val="05E259BD"/>
    <w:rsid w:val="064F0082"/>
    <w:rsid w:val="064F6C25"/>
    <w:rsid w:val="068F00E1"/>
    <w:rsid w:val="0FEF6103"/>
    <w:rsid w:val="107E0B3D"/>
    <w:rsid w:val="16E401CC"/>
    <w:rsid w:val="1AB04D0D"/>
    <w:rsid w:val="21197DA3"/>
    <w:rsid w:val="22491C56"/>
    <w:rsid w:val="22D440F6"/>
    <w:rsid w:val="27E30CF8"/>
    <w:rsid w:val="29907C3F"/>
    <w:rsid w:val="2BE412CA"/>
    <w:rsid w:val="2BF77F01"/>
    <w:rsid w:val="2D04356C"/>
    <w:rsid w:val="2D827D1E"/>
    <w:rsid w:val="303103F1"/>
    <w:rsid w:val="34EC4C37"/>
    <w:rsid w:val="3634492C"/>
    <w:rsid w:val="388F1865"/>
    <w:rsid w:val="38A8133A"/>
    <w:rsid w:val="39DB03B0"/>
    <w:rsid w:val="39E563D8"/>
    <w:rsid w:val="3BE5498B"/>
    <w:rsid w:val="3BEE2B1E"/>
    <w:rsid w:val="3D5E0C45"/>
    <w:rsid w:val="3E8527A2"/>
    <w:rsid w:val="42310AB7"/>
    <w:rsid w:val="43D740B2"/>
    <w:rsid w:val="44864369"/>
    <w:rsid w:val="4513188F"/>
    <w:rsid w:val="46EE6779"/>
    <w:rsid w:val="47A8519E"/>
    <w:rsid w:val="492905A3"/>
    <w:rsid w:val="49F8204D"/>
    <w:rsid w:val="4A015677"/>
    <w:rsid w:val="4DAF4C6A"/>
    <w:rsid w:val="4DE67135"/>
    <w:rsid w:val="4EE8063F"/>
    <w:rsid w:val="4FFFB092"/>
    <w:rsid w:val="514F07F2"/>
    <w:rsid w:val="55FFBD69"/>
    <w:rsid w:val="5C5A3CE5"/>
    <w:rsid w:val="5E0F1B60"/>
    <w:rsid w:val="5EBBCB6D"/>
    <w:rsid w:val="613E2453"/>
    <w:rsid w:val="64E73FFA"/>
    <w:rsid w:val="67302801"/>
    <w:rsid w:val="6D717C1E"/>
    <w:rsid w:val="6FE10973"/>
    <w:rsid w:val="6FE449F2"/>
    <w:rsid w:val="759F3666"/>
    <w:rsid w:val="75DB226C"/>
    <w:rsid w:val="777FB543"/>
    <w:rsid w:val="79AC5FC4"/>
    <w:rsid w:val="7B1240D2"/>
    <w:rsid w:val="7C8465D3"/>
    <w:rsid w:val="7CF2CC7A"/>
    <w:rsid w:val="7DDE8945"/>
    <w:rsid w:val="7F6916AB"/>
    <w:rsid w:val="7F731C3C"/>
    <w:rsid w:val="BA7B23C6"/>
    <w:rsid w:val="BF1F5E54"/>
    <w:rsid w:val="D3BDA282"/>
    <w:rsid w:val="DBEB610E"/>
    <w:rsid w:val="F49FB67C"/>
    <w:rsid w:val="F8EFEF18"/>
    <w:rsid w:val="FE734873"/>
    <w:rsid w:val="FFDFA793"/>
    <w:rsid w:val="FFFBF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6">
    <w:name w:val="heading 1"/>
    <w:basedOn w:val="1"/>
    <w:next w:val="1"/>
    <w:link w:val="49"/>
    <w:qFormat/>
    <w:uiPriority w:val="9"/>
    <w:pPr>
      <w:keepNext/>
      <w:keepLines/>
      <w:numPr>
        <w:ilvl w:val="0"/>
        <w:numId w:val="1"/>
      </w:numPr>
      <w:adjustRightInd w:val="0"/>
      <w:snapToGrid w:val="0"/>
      <w:spacing w:after="260" w:line="360" w:lineRule="auto"/>
      <w:outlineLvl w:val="0"/>
    </w:pPr>
    <w:rPr>
      <w:rFonts w:eastAsia="仿宋"/>
      <w:b/>
      <w:bCs/>
      <w:spacing w:val="0"/>
      <w:kern w:val="44"/>
      <w:szCs w:val="44"/>
    </w:rPr>
  </w:style>
  <w:style w:type="paragraph" w:styleId="7">
    <w:name w:val="heading 2"/>
    <w:basedOn w:val="1"/>
    <w:next w:val="1"/>
    <w:link w:val="59"/>
    <w:semiHidden/>
    <w:unhideWhenUsed/>
    <w:qFormat/>
    <w:uiPriority w:val="9"/>
    <w:pPr>
      <w:keepNext/>
      <w:keepLines/>
      <w:spacing w:before="260" w:after="260" w:line="416" w:lineRule="atLeast"/>
      <w:outlineLvl w:val="1"/>
    </w:pPr>
    <w:rPr>
      <w:rFonts w:eastAsia="仿宋"/>
      <w:b/>
      <w:bCs/>
      <w:spacing w:val="0"/>
      <w:kern w:val="0"/>
      <w:sz w:val="30"/>
      <w:szCs w:val="32"/>
    </w:rPr>
  </w:style>
  <w:style w:type="paragraph" w:styleId="8">
    <w:name w:val="heading 3"/>
    <w:basedOn w:val="1"/>
    <w:next w:val="1"/>
    <w:link w:val="51"/>
    <w:unhideWhenUsed/>
    <w:qFormat/>
    <w:uiPriority w:val="9"/>
    <w:pPr>
      <w:keepNext/>
      <w:keepLines/>
      <w:numPr>
        <w:ilvl w:val="2"/>
        <w:numId w:val="1"/>
      </w:numPr>
      <w:adjustRightInd w:val="0"/>
      <w:snapToGrid w:val="0"/>
      <w:spacing w:after="260" w:line="360" w:lineRule="auto"/>
      <w:outlineLvl w:val="2"/>
    </w:pPr>
    <w:rPr>
      <w:rFonts w:eastAsia="仿宋"/>
      <w:b/>
      <w:bCs/>
      <w:spacing w:val="0"/>
      <w:sz w:val="28"/>
      <w:szCs w:val="32"/>
    </w:rPr>
  </w:style>
  <w:style w:type="paragraph" w:styleId="9">
    <w:name w:val="heading 4"/>
    <w:basedOn w:val="1"/>
    <w:next w:val="1"/>
    <w:link w:val="61"/>
    <w:semiHidden/>
    <w:unhideWhenUsed/>
    <w:qFormat/>
    <w:uiPriority w:val="9"/>
    <w:pPr>
      <w:keepNext/>
      <w:keepLines/>
      <w:spacing w:before="280" w:after="290" w:line="376" w:lineRule="atLeast"/>
      <w:outlineLvl w:val="3"/>
    </w:pPr>
    <w:rPr>
      <w:rFonts w:eastAsia="仿宋"/>
      <w:b/>
      <w:bCs/>
      <w:spacing w:val="0"/>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46"/>
    <w:qFormat/>
    <w:uiPriority w:val="99"/>
    <w:pPr>
      <w:ind w:firstLine="200" w:firstLineChars="200"/>
    </w:pPr>
  </w:style>
  <w:style w:type="paragraph" w:styleId="3">
    <w:name w:val="Body Text Indent"/>
    <w:basedOn w:val="1"/>
    <w:next w:val="4"/>
    <w:link w:val="45"/>
    <w:qFormat/>
    <w:uiPriority w:val="99"/>
    <w:pPr>
      <w:spacing w:after="120"/>
      <w:ind w:left="200" w:leftChars="200"/>
    </w:pPr>
  </w:style>
  <w:style w:type="paragraph" w:styleId="4">
    <w:name w:val="footer"/>
    <w:basedOn w:val="1"/>
    <w:link w:val="60"/>
    <w:unhideWhenUsed/>
    <w:qFormat/>
    <w:uiPriority w:val="99"/>
    <w:pPr>
      <w:tabs>
        <w:tab w:val="center" w:pos="4153"/>
        <w:tab w:val="right" w:pos="8306"/>
      </w:tabs>
      <w:overflowPunct w:val="0"/>
      <w:autoSpaceDE w:val="0"/>
      <w:autoSpaceDN w:val="0"/>
      <w:adjustRightInd w:val="0"/>
      <w:textAlignment w:val="baseline"/>
    </w:pPr>
    <w:rPr>
      <w:sz w:val="20"/>
    </w:rPr>
  </w:style>
  <w:style w:type="paragraph" w:styleId="5">
    <w:name w:val="Plain Text"/>
    <w:link w:val="66"/>
    <w:qFormat/>
    <w:uiPriority w:val="0"/>
    <w:pPr>
      <w:widowControl w:val="0"/>
      <w:jc w:val="both"/>
    </w:pPr>
    <w:rPr>
      <w:rFonts w:ascii="宋体" w:hAnsi="Calibri" w:eastAsia="宋体" w:cs="Courier New"/>
      <w:kern w:val="2"/>
      <w:sz w:val="21"/>
      <w:szCs w:val="21"/>
      <w:lang w:val="en-US" w:eastAsia="zh-CN" w:bidi="ar-SA"/>
    </w:rPr>
  </w:style>
  <w:style w:type="paragraph" w:styleId="10">
    <w:name w:val="Normal Indent"/>
    <w:basedOn w:val="1"/>
    <w:qFormat/>
    <w:uiPriority w:val="0"/>
    <w:pPr>
      <w:spacing w:line="240" w:lineRule="auto"/>
      <w:ind w:firstLine="420" w:firstLineChars="200"/>
    </w:pPr>
    <w:rPr>
      <w:rFonts w:ascii="Calibri" w:hAnsi="Calibri" w:eastAsia="宋体"/>
      <w:spacing w:val="0"/>
      <w:sz w:val="21"/>
      <w:szCs w:val="22"/>
    </w:rPr>
  </w:style>
  <w:style w:type="paragraph" w:styleId="11">
    <w:name w:val="annotation text"/>
    <w:basedOn w:val="1"/>
    <w:link w:val="53"/>
    <w:semiHidden/>
    <w:unhideWhenUsed/>
    <w:qFormat/>
    <w:uiPriority w:val="99"/>
    <w:pPr>
      <w:adjustRightInd w:val="0"/>
      <w:snapToGrid w:val="0"/>
      <w:spacing w:line="360" w:lineRule="auto"/>
      <w:ind w:firstLine="200" w:firstLineChars="200"/>
      <w:jc w:val="left"/>
    </w:pPr>
    <w:rPr>
      <w:rFonts w:eastAsia="仿宋"/>
      <w:spacing w:val="0"/>
      <w:sz w:val="28"/>
      <w:szCs w:val="22"/>
    </w:rPr>
  </w:style>
  <w:style w:type="paragraph" w:styleId="12">
    <w:name w:val="Salutation"/>
    <w:basedOn w:val="1"/>
    <w:next w:val="1"/>
    <w:link w:val="54"/>
    <w:unhideWhenUsed/>
    <w:qFormat/>
    <w:uiPriority w:val="99"/>
    <w:pPr>
      <w:spacing w:line="240" w:lineRule="auto"/>
    </w:pPr>
    <w:rPr>
      <w:rFonts w:ascii="Calibri" w:hAnsi="Calibri" w:eastAsia="宋体"/>
      <w:spacing w:val="0"/>
      <w:sz w:val="21"/>
      <w:szCs w:val="21"/>
    </w:rPr>
  </w:style>
  <w:style w:type="paragraph" w:styleId="13">
    <w:name w:val="Body Text"/>
    <w:basedOn w:val="1"/>
    <w:link w:val="48"/>
    <w:unhideWhenUsed/>
    <w:qFormat/>
    <w:uiPriority w:val="0"/>
    <w:pPr>
      <w:spacing w:after="120"/>
    </w:pPr>
  </w:style>
  <w:style w:type="paragraph" w:styleId="14">
    <w:name w:val="toc 5"/>
    <w:basedOn w:val="1"/>
    <w:next w:val="1"/>
    <w:semiHidden/>
    <w:unhideWhenUsed/>
    <w:qFormat/>
    <w:uiPriority w:val="39"/>
    <w:pPr>
      <w:adjustRightInd w:val="0"/>
      <w:snapToGrid w:val="0"/>
      <w:spacing w:line="360" w:lineRule="auto"/>
      <w:ind w:left="1680" w:leftChars="800" w:firstLine="200" w:firstLineChars="200"/>
    </w:pPr>
    <w:rPr>
      <w:rFonts w:eastAsia="仿宋"/>
      <w:spacing w:val="0"/>
      <w:sz w:val="28"/>
      <w:szCs w:val="22"/>
    </w:rPr>
  </w:style>
  <w:style w:type="paragraph" w:styleId="15">
    <w:name w:val="toc 3"/>
    <w:basedOn w:val="1"/>
    <w:next w:val="1"/>
    <w:unhideWhenUsed/>
    <w:qFormat/>
    <w:uiPriority w:val="39"/>
    <w:pPr>
      <w:adjustRightInd w:val="0"/>
      <w:snapToGrid w:val="0"/>
      <w:spacing w:line="360" w:lineRule="auto"/>
      <w:ind w:left="840" w:leftChars="400" w:firstLine="200" w:firstLineChars="200"/>
    </w:pPr>
    <w:rPr>
      <w:rFonts w:eastAsia="仿宋"/>
      <w:spacing w:val="0"/>
      <w:sz w:val="28"/>
      <w:szCs w:val="22"/>
    </w:rPr>
  </w:style>
  <w:style w:type="paragraph" w:styleId="16">
    <w:name w:val="Date"/>
    <w:basedOn w:val="1"/>
    <w:next w:val="1"/>
    <w:link w:val="55"/>
    <w:semiHidden/>
    <w:unhideWhenUsed/>
    <w:qFormat/>
    <w:uiPriority w:val="99"/>
    <w:pPr>
      <w:adjustRightInd w:val="0"/>
      <w:snapToGrid w:val="0"/>
      <w:spacing w:line="360" w:lineRule="auto"/>
      <w:ind w:left="100" w:leftChars="2500" w:firstLine="200" w:firstLineChars="200"/>
    </w:pPr>
    <w:rPr>
      <w:rFonts w:eastAsia="仿宋"/>
      <w:spacing w:val="0"/>
      <w:sz w:val="28"/>
      <w:szCs w:val="22"/>
    </w:rPr>
  </w:style>
  <w:style w:type="paragraph" w:styleId="17">
    <w:name w:val="Body Text Indent 2"/>
    <w:basedOn w:val="1"/>
    <w:link w:val="56"/>
    <w:semiHidden/>
    <w:unhideWhenUsed/>
    <w:qFormat/>
    <w:uiPriority w:val="99"/>
    <w:pPr>
      <w:adjustRightInd w:val="0"/>
      <w:snapToGrid w:val="0"/>
      <w:spacing w:after="120" w:line="480" w:lineRule="auto"/>
      <w:ind w:left="420" w:leftChars="200" w:firstLine="200" w:firstLineChars="200"/>
    </w:pPr>
    <w:rPr>
      <w:rFonts w:eastAsia="仿宋"/>
      <w:spacing w:val="0"/>
      <w:sz w:val="28"/>
      <w:szCs w:val="22"/>
    </w:rPr>
  </w:style>
  <w:style w:type="paragraph" w:styleId="18">
    <w:name w:val="Balloon Text"/>
    <w:basedOn w:val="1"/>
    <w:link w:val="42"/>
    <w:semiHidden/>
    <w:unhideWhenUsed/>
    <w:qFormat/>
    <w:uiPriority w:val="99"/>
    <w:pPr>
      <w:spacing w:line="240" w:lineRule="auto"/>
    </w:pPr>
    <w:rPr>
      <w:sz w:val="18"/>
      <w:szCs w:val="18"/>
    </w:rPr>
  </w:style>
  <w:style w:type="paragraph" w:styleId="19">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right" w:leader="dot" w:pos="8296"/>
      </w:tabs>
      <w:adjustRightInd w:val="0"/>
      <w:snapToGrid w:val="0"/>
      <w:spacing w:line="360" w:lineRule="auto"/>
    </w:pPr>
    <w:rPr>
      <w:rFonts w:eastAsia="仿宋"/>
      <w:spacing w:val="0"/>
      <w:sz w:val="28"/>
      <w:szCs w:val="22"/>
    </w:rPr>
  </w:style>
  <w:style w:type="paragraph" w:styleId="21">
    <w:name w:val="footnote text"/>
    <w:basedOn w:val="1"/>
    <w:link w:val="44"/>
    <w:semiHidden/>
    <w:unhideWhenUsed/>
    <w:qFormat/>
    <w:uiPriority w:val="99"/>
    <w:pPr>
      <w:snapToGrid w:val="0"/>
      <w:spacing w:line="240" w:lineRule="auto"/>
      <w:jc w:val="left"/>
    </w:pPr>
    <w:rPr>
      <w:rFonts w:ascii="等线" w:hAnsi="等线" w:eastAsia="等线"/>
      <w:spacing w:val="0"/>
      <w:sz w:val="18"/>
      <w:szCs w:val="18"/>
    </w:rPr>
  </w:style>
  <w:style w:type="paragraph" w:styleId="22">
    <w:name w:val="toc 2"/>
    <w:basedOn w:val="1"/>
    <w:next w:val="1"/>
    <w:unhideWhenUsed/>
    <w:qFormat/>
    <w:uiPriority w:val="39"/>
    <w:pPr>
      <w:tabs>
        <w:tab w:val="right" w:leader="dot" w:pos="8296"/>
      </w:tabs>
      <w:adjustRightInd w:val="0"/>
      <w:snapToGrid w:val="0"/>
      <w:spacing w:line="360" w:lineRule="auto"/>
      <w:ind w:right="280" w:rightChars="100" w:firstLine="560" w:firstLineChars="200"/>
    </w:pPr>
    <w:rPr>
      <w:rFonts w:eastAsia="仿宋"/>
      <w:spacing w:val="0"/>
      <w:sz w:val="28"/>
      <w:szCs w:val="22"/>
    </w:rPr>
  </w:style>
  <w:style w:type="paragraph" w:styleId="23">
    <w:name w:val="HTML Preformatted"/>
    <w:basedOn w:val="1"/>
    <w:link w:val="43"/>
    <w:semiHidden/>
    <w:unhideWhenUsed/>
    <w:qFormat/>
    <w:uiPriority w:val="99"/>
    <w:rPr>
      <w:rFonts w:ascii="Courier New" w:hAnsi="Courier New" w:cs="Courier New"/>
      <w:sz w:val="20"/>
    </w:rPr>
  </w:style>
  <w:style w:type="paragraph" w:styleId="24">
    <w:name w:val="Normal (Web)"/>
    <w:basedOn w:val="1"/>
    <w:qFormat/>
    <w:uiPriority w:val="0"/>
    <w:pPr>
      <w:spacing w:before="100" w:beforeAutospacing="1" w:after="100" w:afterAutospacing="1" w:line="360" w:lineRule="auto"/>
      <w:ind w:firstLine="602" w:firstLineChars="200"/>
      <w:jc w:val="left"/>
    </w:pPr>
    <w:rPr>
      <w:rFonts w:eastAsia="仿宋"/>
      <w:spacing w:val="0"/>
      <w:kern w:val="0"/>
      <w:sz w:val="24"/>
      <w:szCs w:val="24"/>
    </w:rPr>
  </w:style>
  <w:style w:type="paragraph" w:styleId="25">
    <w:name w:val="annotation subject"/>
    <w:basedOn w:val="11"/>
    <w:next w:val="11"/>
    <w:link w:val="57"/>
    <w:semiHidden/>
    <w:unhideWhenUsed/>
    <w:qFormat/>
    <w:uiPriority w:val="99"/>
    <w:rPr>
      <w:b/>
      <w:bCs/>
    </w:rPr>
  </w:style>
  <w:style w:type="table" w:styleId="27">
    <w:name w:val="Table Grid"/>
    <w:basedOn w:val="2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unhideWhenUsed/>
    <w:qFormat/>
    <w:uiPriority w:val="99"/>
  </w:style>
  <w:style w:type="character" w:styleId="30">
    <w:name w:val="Hyperlink"/>
    <w:basedOn w:val="28"/>
    <w:semiHidden/>
    <w:unhideWhenUsed/>
    <w:qFormat/>
    <w:uiPriority w:val="99"/>
    <w:rPr>
      <w:color w:val="0000FF" w:themeColor="hyperlink"/>
      <w:u w:val="single"/>
      <w14:textFill>
        <w14:solidFill>
          <w14:schemeClr w14:val="hlink"/>
        </w14:solidFill>
      </w14:textFill>
    </w:rPr>
  </w:style>
  <w:style w:type="character" w:styleId="31">
    <w:name w:val="annotation reference"/>
    <w:basedOn w:val="28"/>
    <w:semiHidden/>
    <w:unhideWhenUsed/>
    <w:qFormat/>
    <w:uiPriority w:val="99"/>
    <w:rPr>
      <w:sz w:val="21"/>
      <w:szCs w:val="21"/>
    </w:rPr>
  </w:style>
  <w:style w:type="paragraph" w:customStyle="1" w:styleId="32">
    <w:name w:val="大标题"/>
    <w:basedOn w:val="1"/>
    <w:qFormat/>
    <w:uiPriority w:val="0"/>
    <w:pPr>
      <w:jc w:val="center"/>
    </w:pPr>
    <w:rPr>
      <w:rFonts w:ascii="方正小标宋简体" w:eastAsia="方正小标宋简体"/>
      <w:b/>
      <w:bCs/>
      <w:sz w:val="44"/>
      <w:szCs w:val="44"/>
    </w:rPr>
  </w:style>
  <w:style w:type="paragraph" w:customStyle="1" w:styleId="33">
    <w:name w:val="正文1"/>
    <w:basedOn w:val="34"/>
    <w:qFormat/>
    <w:uiPriority w:val="0"/>
    <w:pPr>
      <w:ind w:firstLine="640" w:firstLineChars="200"/>
    </w:pPr>
    <w:rPr>
      <w:b w:val="0"/>
      <w:bCs w:val="0"/>
    </w:rPr>
  </w:style>
  <w:style w:type="paragraph" w:customStyle="1" w:styleId="34">
    <w:name w:val="抬头"/>
    <w:basedOn w:val="1"/>
    <w:qFormat/>
    <w:uiPriority w:val="0"/>
    <w:rPr>
      <w:rFonts w:ascii="仿宋_GB2312"/>
      <w:b/>
      <w:bCs/>
      <w:szCs w:val="32"/>
    </w:rPr>
  </w:style>
  <w:style w:type="character" w:customStyle="1" w:styleId="35">
    <w:name w:val="font101"/>
    <w:basedOn w:val="28"/>
    <w:qFormat/>
    <w:uiPriority w:val="0"/>
    <w:rPr>
      <w:rFonts w:ascii="方正小标宋简体" w:hAnsi="方正小标宋简体" w:eastAsia="方正小标宋简体" w:cs="方正小标宋简体"/>
      <w:color w:val="000000"/>
      <w:sz w:val="40"/>
      <w:szCs w:val="40"/>
      <w:u w:val="none"/>
    </w:rPr>
  </w:style>
  <w:style w:type="character" w:customStyle="1" w:styleId="36">
    <w:name w:val="font111"/>
    <w:basedOn w:val="28"/>
    <w:qFormat/>
    <w:uiPriority w:val="0"/>
    <w:rPr>
      <w:rFonts w:hint="eastAsia" w:ascii="仿宋_GB2312" w:eastAsia="仿宋_GB2312" w:cs="仿宋_GB2312"/>
      <w:color w:val="000000"/>
      <w:sz w:val="24"/>
      <w:szCs w:val="24"/>
      <w:u w:val="none"/>
    </w:rPr>
  </w:style>
  <w:style w:type="character" w:customStyle="1" w:styleId="37">
    <w:name w:val="font81"/>
    <w:basedOn w:val="28"/>
    <w:qFormat/>
    <w:uiPriority w:val="0"/>
    <w:rPr>
      <w:rFonts w:hint="default" w:ascii="Times New Roman" w:hAnsi="Times New Roman" w:cs="Times New Roman"/>
      <w:color w:val="000000"/>
      <w:sz w:val="24"/>
      <w:szCs w:val="24"/>
      <w:u w:val="none"/>
    </w:rPr>
  </w:style>
  <w:style w:type="character" w:customStyle="1" w:styleId="38">
    <w:name w:val="font01"/>
    <w:basedOn w:val="28"/>
    <w:qFormat/>
    <w:uiPriority w:val="0"/>
    <w:rPr>
      <w:rFonts w:hint="eastAsia" w:ascii="仿宋_GB2312" w:eastAsia="仿宋_GB2312" w:cs="仿宋_GB2312"/>
      <w:color w:val="000000"/>
      <w:sz w:val="24"/>
      <w:szCs w:val="24"/>
      <w:u w:val="none"/>
    </w:rPr>
  </w:style>
  <w:style w:type="character" w:customStyle="1" w:styleId="39">
    <w:name w:val="font21"/>
    <w:basedOn w:val="28"/>
    <w:qFormat/>
    <w:uiPriority w:val="0"/>
    <w:rPr>
      <w:rFonts w:hint="default" w:ascii="Times New Roman" w:hAnsi="Times New Roman" w:cs="Times New Roman"/>
      <w:color w:val="000000"/>
      <w:sz w:val="24"/>
      <w:szCs w:val="24"/>
      <w:u w:val="none"/>
    </w:rPr>
  </w:style>
  <w:style w:type="character" w:customStyle="1" w:styleId="40">
    <w:name w:val="font51"/>
    <w:basedOn w:val="28"/>
    <w:qFormat/>
    <w:uiPriority w:val="0"/>
    <w:rPr>
      <w:rFonts w:hint="eastAsia" w:ascii="仿宋_GB2312" w:eastAsia="仿宋_GB2312" w:cs="仿宋_GB2312"/>
      <w:color w:val="000000"/>
      <w:sz w:val="24"/>
      <w:szCs w:val="24"/>
      <w:u w:val="none"/>
    </w:rPr>
  </w:style>
  <w:style w:type="character" w:customStyle="1" w:styleId="41">
    <w:name w:val="页眉 字符"/>
    <w:basedOn w:val="28"/>
    <w:link w:val="19"/>
    <w:qFormat/>
    <w:uiPriority w:val="99"/>
    <w:rPr>
      <w:rFonts w:eastAsia="仿宋_GB2312"/>
      <w:spacing w:val="-6"/>
      <w:kern w:val="2"/>
      <w:sz w:val="18"/>
      <w:szCs w:val="18"/>
    </w:rPr>
  </w:style>
  <w:style w:type="character" w:customStyle="1" w:styleId="42">
    <w:name w:val="批注框文本 字符"/>
    <w:basedOn w:val="28"/>
    <w:link w:val="18"/>
    <w:semiHidden/>
    <w:qFormat/>
    <w:uiPriority w:val="99"/>
    <w:rPr>
      <w:rFonts w:eastAsia="仿宋_GB2312"/>
      <w:spacing w:val="-6"/>
      <w:kern w:val="2"/>
      <w:sz w:val="18"/>
      <w:szCs w:val="18"/>
    </w:rPr>
  </w:style>
  <w:style w:type="character" w:customStyle="1" w:styleId="43">
    <w:name w:val="HTML 预设格式 字符"/>
    <w:basedOn w:val="28"/>
    <w:link w:val="23"/>
    <w:semiHidden/>
    <w:qFormat/>
    <w:uiPriority w:val="99"/>
    <w:rPr>
      <w:rFonts w:ascii="Courier New" w:hAnsi="Courier New" w:eastAsia="仿宋_GB2312" w:cs="Courier New"/>
      <w:spacing w:val="-6"/>
      <w:kern w:val="2"/>
    </w:rPr>
  </w:style>
  <w:style w:type="character" w:customStyle="1" w:styleId="44">
    <w:name w:val="脚注文本 字符"/>
    <w:basedOn w:val="28"/>
    <w:link w:val="21"/>
    <w:semiHidden/>
    <w:qFormat/>
    <w:uiPriority w:val="99"/>
    <w:rPr>
      <w:rFonts w:ascii="等线" w:hAnsi="等线" w:eastAsia="等线"/>
      <w:kern w:val="2"/>
      <w:sz w:val="18"/>
      <w:szCs w:val="18"/>
    </w:rPr>
  </w:style>
  <w:style w:type="character" w:customStyle="1" w:styleId="45">
    <w:name w:val="正文文本缩进 字符"/>
    <w:basedOn w:val="28"/>
    <w:link w:val="3"/>
    <w:qFormat/>
    <w:uiPriority w:val="99"/>
    <w:rPr>
      <w:rFonts w:hint="eastAsia" w:ascii="仿宋_GB2312" w:eastAsia="仿宋_GB2312" w:cs="仿宋_GB2312"/>
      <w:spacing w:val="-6"/>
      <w:kern w:val="2"/>
      <w:sz w:val="32"/>
    </w:rPr>
  </w:style>
  <w:style w:type="character" w:customStyle="1" w:styleId="46">
    <w:name w:val="正文首行缩进 2 字符"/>
    <w:basedOn w:val="45"/>
    <w:link w:val="2"/>
    <w:qFormat/>
    <w:uiPriority w:val="99"/>
    <w:rPr>
      <w:rFonts w:hint="eastAsia" w:ascii="仿宋_GB2312" w:eastAsia="仿宋_GB2312" w:cs="仿宋_GB2312"/>
      <w:spacing w:val="-6"/>
      <w:kern w:val="2"/>
      <w:sz w:val="32"/>
    </w:rPr>
  </w:style>
  <w:style w:type="paragraph" w:customStyle="1" w:styleId="47">
    <w:name w:val="修订1"/>
    <w:hidden/>
    <w:semiHidden/>
    <w:qFormat/>
    <w:uiPriority w:val="99"/>
    <w:rPr>
      <w:rFonts w:ascii="Times New Roman" w:hAnsi="Times New Roman" w:eastAsia="仿宋_GB2312" w:cs="Times New Roman"/>
      <w:spacing w:val="-6"/>
      <w:kern w:val="2"/>
      <w:sz w:val="32"/>
      <w:lang w:val="en-US" w:eastAsia="zh-CN" w:bidi="ar-SA"/>
    </w:rPr>
  </w:style>
  <w:style w:type="character" w:customStyle="1" w:styleId="48">
    <w:name w:val="正文文本 字符"/>
    <w:basedOn w:val="28"/>
    <w:link w:val="13"/>
    <w:qFormat/>
    <w:uiPriority w:val="0"/>
    <w:rPr>
      <w:rFonts w:eastAsia="仿宋_GB2312"/>
      <w:spacing w:val="-6"/>
      <w:kern w:val="2"/>
      <w:sz w:val="32"/>
    </w:rPr>
  </w:style>
  <w:style w:type="character" w:customStyle="1" w:styleId="49">
    <w:name w:val="标题 1 字符"/>
    <w:basedOn w:val="28"/>
    <w:link w:val="6"/>
    <w:qFormat/>
    <w:uiPriority w:val="9"/>
    <w:rPr>
      <w:rFonts w:eastAsia="仿宋"/>
      <w:b/>
      <w:bCs/>
      <w:kern w:val="44"/>
      <w:sz w:val="32"/>
      <w:szCs w:val="44"/>
    </w:rPr>
  </w:style>
  <w:style w:type="paragraph" w:customStyle="1" w:styleId="50">
    <w:name w:val="标题 21"/>
    <w:basedOn w:val="1"/>
    <w:next w:val="1"/>
    <w:unhideWhenUsed/>
    <w:qFormat/>
    <w:uiPriority w:val="9"/>
    <w:pPr>
      <w:keepNext/>
      <w:keepLines/>
      <w:numPr>
        <w:ilvl w:val="1"/>
        <w:numId w:val="1"/>
      </w:numPr>
      <w:adjustRightInd w:val="0"/>
      <w:snapToGrid w:val="0"/>
      <w:spacing w:after="260" w:line="360" w:lineRule="auto"/>
      <w:outlineLvl w:val="1"/>
    </w:pPr>
    <w:rPr>
      <w:rFonts w:eastAsia="仿宋"/>
      <w:b/>
      <w:bCs/>
      <w:spacing w:val="0"/>
      <w:sz w:val="30"/>
      <w:szCs w:val="32"/>
    </w:rPr>
  </w:style>
  <w:style w:type="character" w:customStyle="1" w:styleId="51">
    <w:name w:val="标题 3 字符"/>
    <w:basedOn w:val="28"/>
    <w:link w:val="8"/>
    <w:qFormat/>
    <w:uiPriority w:val="9"/>
    <w:rPr>
      <w:rFonts w:eastAsia="仿宋"/>
      <w:b/>
      <w:bCs/>
      <w:kern w:val="2"/>
      <w:sz w:val="28"/>
      <w:szCs w:val="32"/>
    </w:rPr>
  </w:style>
  <w:style w:type="paragraph" w:customStyle="1" w:styleId="52">
    <w:name w:val="标题 41"/>
    <w:basedOn w:val="1"/>
    <w:next w:val="1"/>
    <w:unhideWhenUsed/>
    <w:qFormat/>
    <w:uiPriority w:val="9"/>
    <w:pPr>
      <w:keepNext/>
      <w:keepLines/>
      <w:numPr>
        <w:ilvl w:val="3"/>
        <w:numId w:val="1"/>
      </w:numPr>
      <w:adjustRightInd w:val="0"/>
      <w:snapToGrid w:val="0"/>
      <w:spacing w:after="260" w:line="360" w:lineRule="auto"/>
      <w:outlineLvl w:val="3"/>
    </w:pPr>
    <w:rPr>
      <w:rFonts w:eastAsia="仿宋"/>
      <w:b/>
      <w:bCs/>
      <w:spacing w:val="0"/>
      <w:sz w:val="28"/>
      <w:szCs w:val="28"/>
    </w:rPr>
  </w:style>
  <w:style w:type="character" w:customStyle="1" w:styleId="53">
    <w:name w:val="批注文字 字符"/>
    <w:basedOn w:val="28"/>
    <w:link w:val="11"/>
    <w:semiHidden/>
    <w:qFormat/>
    <w:uiPriority w:val="99"/>
    <w:rPr>
      <w:rFonts w:eastAsia="仿宋"/>
      <w:kern w:val="2"/>
      <w:sz w:val="28"/>
      <w:szCs w:val="22"/>
    </w:rPr>
  </w:style>
  <w:style w:type="character" w:customStyle="1" w:styleId="54">
    <w:name w:val="称呼 字符"/>
    <w:basedOn w:val="28"/>
    <w:link w:val="12"/>
    <w:qFormat/>
    <w:uiPriority w:val="99"/>
    <w:rPr>
      <w:rFonts w:ascii="Calibri" w:hAnsi="Calibri"/>
      <w:kern w:val="2"/>
      <w:sz w:val="21"/>
      <w:szCs w:val="21"/>
    </w:rPr>
  </w:style>
  <w:style w:type="character" w:customStyle="1" w:styleId="55">
    <w:name w:val="日期 字符"/>
    <w:basedOn w:val="28"/>
    <w:link w:val="16"/>
    <w:semiHidden/>
    <w:qFormat/>
    <w:uiPriority w:val="99"/>
    <w:rPr>
      <w:rFonts w:eastAsia="仿宋"/>
      <w:kern w:val="2"/>
      <w:sz w:val="28"/>
      <w:szCs w:val="22"/>
    </w:rPr>
  </w:style>
  <w:style w:type="character" w:customStyle="1" w:styleId="56">
    <w:name w:val="正文文本缩进 2 字符"/>
    <w:basedOn w:val="28"/>
    <w:link w:val="17"/>
    <w:semiHidden/>
    <w:qFormat/>
    <w:uiPriority w:val="99"/>
    <w:rPr>
      <w:rFonts w:eastAsia="仿宋"/>
      <w:kern w:val="2"/>
      <w:sz w:val="28"/>
      <w:szCs w:val="22"/>
    </w:rPr>
  </w:style>
  <w:style w:type="character" w:customStyle="1" w:styleId="57">
    <w:name w:val="批注主题 字符"/>
    <w:basedOn w:val="53"/>
    <w:link w:val="25"/>
    <w:semiHidden/>
    <w:qFormat/>
    <w:uiPriority w:val="99"/>
    <w:rPr>
      <w:rFonts w:eastAsia="仿宋"/>
      <w:b/>
      <w:bCs/>
      <w:kern w:val="2"/>
      <w:sz w:val="28"/>
      <w:szCs w:val="22"/>
    </w:rPr>
  </w:style>
  <w:style w:type="character" w:customStyle="1" w:styleId="58">
    <w:name w:val="超链接1"/>
    <w:basedOn w:val="28"/>
    <w:unhideWhenUsed/>
    <w:qFormat/>
    <w:uiPriority w:val="99"/>
    <w:rPr>
      <w:color w:val="0000FF"/>
      <w:u w:val="single"/>
    </w:rPr>
  </w:style>
  <w:style w:type="character" w:customStyle="1" w:styleId="59">
    <w:name w:val="标题 2 字符"/>
    <w:basedOn w:val="28"/>
    <w:link w:val="7"/>
    <w:qFormat/>
    <w:uiPriority w:val="9"/>
    <w:rPr>
      <w:rFonts w:ascii="Times New Roman" w:hAnsi="Times New Roman" w:eastAsia="仿宋" w:cs="Times New Roman"/>
      <w:b/>
      <w:bCs/>
      <w:sz w:val="30"/>
      <w:szCs w:val="32"/>
    </w:rPr>
  </w:style>
  <w:style w:type="character" w:customStyle="1" w:styleId="60">
    <w:name w:val="页脚 字符"/>
    <w:basedOn w:val="28"/>
    <w:link w:val="4"/>
    <w:qFormat/>
    <w:uiPriority w:val="99"/>
    <w:rPr>
      <w:rFonts w:eastAsia="仿宋_GB2312"/>
      <w:spacing w:val="-6"/>
      <w:kern w:val="2"/>
    </w:rPr>
  </w:style>
  <w:style w:type="character" w:customStyle="1" w:styleId="61">
    <w:name w:val="标题 4 字符"/>
    <w:basedOn w:val="28"/>
    <w:link w:val="9"/>
    <w:qFormat/>
    <w:uiPriority w:val="9"/>
    <w:rPr>
      <w:rFonts w:ascii="Times New Roman" w:hAnsi="Times New Roman" w:eastAsia="仿宋" w:cs="Times New Roman"/>
      <w:b/>
      <w:bCs/>
      <w:sz w:val="28"/>
      <w:szCs w:val="28"/>
    </w:rPr>
  </w:style>
  <w:style w:type="paragraph" w:customStyle="1" w:styleId="62">
    <w:name w:val="TOC 标题1"/>
    <w:basedOn w:val="6"/>
    <w:next w:val="1"/>
    <w:unhideWhenUsed/>
    <w:qFormat/>
    <w:uiPriority w:val="39"/>
    <w:pPr>
      <w:widowControl/>
      <w:numPr>
        <w:numId w:val="0"/>
      </w:numPr>
      <w:adjustRightInd/>
      <w:snapToGrid/>
      <w:spacing w:before="480" w:after="0" w:line="276" w:lineRule="auto"/>
      <w:jc w:val="left"/>
      <w:outlineLvl w:val="9"/>
    </w:pPr>
    <w:rPr>
      <w:rFonts w:ascii="Cambria" w:hAnsi="Cambria" w:eastAsia="宋体"/>
      <w:color w:val="365F91"/>
      <w:kern w:val="0"/>
      <w:sz w:val="28"/>
      <w:szCs w:val="28"/>
    </w:rPr>
  </w:style>
  <w:style w:type="paragraph" w:styleId="63">
    <w:name w:val="List Paragraph"/>
    <w:basedOn w:val="1"/>
    <w:qFormat/>
    <w:uiPriority w:val="34"/>
    <w:pPr>
      <w:adjustRightInd w:val="0"/>
      <w:snapToGrid w:val="0"/>
      <w:spacing w:line="360" w:lineRule="auto"/>
      <w:ind w:firstLine="420" w:firstLineChars="200"/>
    </w:pPr>
    <w:rPr>
      <w:rFonts w:eastAsia="仿宋"/>
      <w:spacing w:val="0"/>
      <w:sz w:val="28"/>
      <w:szCs w:val="22"/>
    </w:rPr>
  </w:style>
  <w:style w:type="paragraph" w:customStyle="1" w:styleId="64">
    <w:name w:val="正文0"/>
    <w:basedOn w:val="1"/>
    <w:next w:val="1"/>
    <w:qFormat/>
    <w:uiPriority w:val="0"/>
    <w:pPr>
      <w:spacing w:line="360" w:lineRule="auto"/>
      <w:ind w:firstLine="200" w:firstLineChars="200"/>
    </w:pPr>
    <w:rPr>
      <w:rFonts w:eastAsia="宋体" w:cs="宋体"/>
      <w:spacing w:val="0"/>
      <w:sz w:val="24"/>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6">
    <w:name w:val="纯文本 字符"/>
    <w:basedOn w:val="28"/>
    <w:link w:val="5"/>
    <w:qFormat/>
    <w:uiPriority w:val="0"/>
    <w:rPr>
      <w:rFonts w:ascii="宋体" w:hAnsi="Calibri" w:cs="Courier New"/>
      <w:kern w:val="2"/>
      <w:sz w:val="21"/>
      <w:szCs w:val="21"/>
    </w:rPr>
  </w:style>
  <w:style w:type="paragraph" w:customStyle="1" w:styleId="67">
    <w:name w:val="正文2"/>
    <w:basedOn w:val="1"/>
    <w:next w:val="1"/>
    <w:qFormat/>
    <w:uiPriority w:val="0"/>
    <w:pPr>
      <w:suppressAutoHyphens/>
      <w:spacing w:line="240" w:lineRule="auto"/>
    </w:pPr>
    <w:rPr>
      <w:rFonts w:ascii="Calibri" w:hAnsi="Calibri" w:eastAsia="宋体"/>
      <w:spacing w:val="0"/>
      <w:sz w:val="21"/>
      <w:szCs w:val="24"/>
    </w:rPr>
  </w:style>
  <w:style w:type="paragraph" w:customStyle="1" w:styleId="68">
    <w:name w:val="样式 样式 (西文) 宋体 (中文) 仿宋_GB2312 小四 + 首行缩进:  2 字符 行距: 最小值 12 磅"/>
    <w:basedOn w:val="1"/>
    <w:qFormat/>
    <w:uiPriority w:val="0"/>
    <w:pPr>
      <w:ind w:firstLine="640" w:firstLineChars="200"/>
      <w:jc w:val="left"/>
    </w:pPr>
    <w:rPr>
      <w:rFonts w:ascii="仿宋_GB2312" w:hAnsi="Calibri"/>
      <w:b/>
      <w:color w:val="000000"/>
      <w:spacing w:val="0"/>
      <w:sz w:val="30"/>
      <w:szCs w:val="30"/>
    </w:rPr>
  </w:style>
  <w:style w:type="paragraph" w:customStyle="1" w:styleId="69">
    <w:name w:val="修订2"/>
    <w:hidden/>
    <w:unhideWhenUsed/>
    <w:qFormat/>
    <w:uiPriority w:val="99"/>
    <w:rPr>
      <w:rFonts w:ascii="Times New Roman" w:hAnsi="Times New Roman" w:eastAsia="仿宋" w:cs="Times New Roman"/>
      <w:kern w:val="2"/>
      <w:sz w:val="28"/>
      <w:szCs w:val="22"/>
      <w:lang w:val="en-US" w:eastAsia="zh-CN" w:bidi="ar-SA"/>
    </w:rPr>
  </w:style>
  <w:style w:type="character" w:customStyle="1" w:styleId="70">
    <w:name w:val="标题 2 字符1"/>
    <w:basedOn w:val="28"/>
    <w:semiHidden/>
    <w:qFormat/>
    <w:uiPriority w:val="9"/>
    <w:rPr>
      <w:rFonts w:asciiTheme="majorHAnsi" w:hAnsiTheme="majorHAnsi" w:eastAsiaTheme="majorEastAsia" w:cstheme="majorBidi"/>
      <w:b/>
      <w:bCs/>
      <w:spacing w:val="-6"/>
      <w:kern w:val="2"/>
      <w:sz w:val="32"/>
      <w:szCs w:val="32"/>
    </w:rPr>
  </w:style>
  <w:style w:type="character" w:customStyle="1" w:styleId="71">
    <w:name w:val="标题 4 字符1"/>
    <w:basedOn w:val="28"/>
    <w:semiHidden/>
    <w:qFormat/>
    <w:uiPriority w:val="9"/>
    <w:rPr>
      <w:rFonts w:asciiTheme="majorHAnsi" w:hAnsiTheme="majorHAnsi" w:eastAsiaTheme="majorEastAsia" w:cstheme="majorBidi"/>
      <w:b/>
      <w:bCs/>
      <w:spacing w:val="-6"/>
      <w:kern w:val="2"/>
      <w:sz w:val="28"/>
      <w:szCs w:val="28"/>
    </w:rPr>
  </w:style>
  <w:style w:type="character" w:customStyle="1" w:styleId="72">
    <w:name w:val="页脚 字符1"/>
    <w:qFormat/>
    <w:uiPriority w:val="99"/>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520</Words>
  <Characters>2970</Characters>
  <Lines>24</Lines>
  <Paragraphs>6</Paragraphs>
  <TotalTime>1</TotalTime>
  <ScaleCrop>false</ScaleCrop>
  <LinksUpToDate>false</LinksUpToDate>
  <CharactersWithSpaces>3484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2023-12-06T07:38:00Z</dcterms:created>
  <dc:creator>Administrator</dc:creator>
  <cp:lastModifiedBy>Lop_Nur</cp:lastModifiedBy>
  <cp:lastPrinted>2024-02-03T01:32:00Z</cp:lastPrinted>
  <dcterms:modified xsi:type="dcterms:W3CDTF">2024-02-05T15:08:37Z</dcterms:modified>
  <dc:title>附件n</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A28ABB25F6F54357B2CF30C2DC7D7525_13</vt:lpwstr>
  </property>
</Properties>
</file>