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adjustRightInd w:val="0"/>
        <w:snapToGrid w:val="0"/>
        <w:spacing w:line="600" w:lineRule="exact"/>
        <w:jc w:val="center"/>
        <w:rPr>
          <w:rFonts w:eastAsia="方正小标宋简体"/>
          <w:bCs/>
          <w:spacing w:val="0"/>
          <w:sz w:val="44"/>
          <w:szCs w:val="44"/>
        </w:rPr>
      </w:pPr>
      <w:r>
        <w:rPr>
          <w:rFonts w:hint="eastAsia" w:eastAsia="方正小标宋简体"/>
          <w:bCs/>
          <w:spacing w:val="0"/>
          <w:sz w:val="44"/>
          <w:szCs w:val="44"/>
        </w:rPr>
        <w:t>四川省农村生活污水治理工作指南</w:t>
      </w:r>
    </w:p>
    <w:p>
      <w:pPr>
        <w:overflowPunct w:val="0"/>
        <w:topLinePunct/>
        <w:adjustRightInd w:val="0"/>
        <w:snapToGrid w:val="0"/>
        <w:spacing w:line="600" w:lineRule="exact"/>
        <w:jc w:val="center"/>
        <w:rPr>
          <w:rFonts w:eastAsia="楷体_GB2312"/>
          <w:b/>
          <w:bCs/>
          <w:spacing w:val="0"/>
          <w:szCs w:val="32"/>
        </w:rPr>
      </w:pPr>
      <w:r>
        <w:rPr>
          <w:rFonts w:eastAsia="楷体_GB2312"/>
          <w:b/>
          <w:bCs/>
          <w:spacing w:val="0"/>
          <w:szCs w:val="32"/>
        </w:rPr>
        <w:t>（</w:t>
      </w:r>
      <w:r>
        <w:rPr>
          <w:rFonts w:hint="eastAsia" w:eastAsia="楷体_GB2312"/>
          <w:b/>
          <w:bCs/>
          <w:spacing w:val="0"/>
          <w:szCs w:val="32"/>
        </w:rPr>
        <w:t>试行</w:t>
      </w:r>
      <w:r>
        <w:rPr>
          <w:rFonts w:eastAsia="楷体_GB2312"/>
          <w:b/>
          <w:bCs/>
          <w:spacing w:val="0"/>
          <w:szCs w:val="32"/>
        </w:rPr>
        <w:t>）</w:t>
      </w:r>
    </w:p>
    <w:p>
      <w:pPr>
        <w:overflowPunct w:val="0"/>
        <w:topLinePunct/>
        <w:adjustRightInd w:val="0"/>
        <w:snapToGrid w:val="0"/>
        <w:spacing w:line="600" w:lineRule="exact"/>
        <w:jc w:val="center"/>
        <w:rPr>
          <w:rFonts w:eastAsia="楷体_GB2312"/>
          <w:b/>
          <w:spacing w:val="0"/>
          <w:szCs w:val="32"/>
        </w:rPr>
      </w:pPr>
    </w:p>
    <w:p>
      <w:pPr>
        <w:overflowPunct w:val="0"/>
        <w:topLinePunct/>
        <w:adjustRightInd w:val="0"/>
        <w:snapToGrid w:val="0"/>
        <w:spacing w:line="600" w:lineRule="exact"/>
        <w:ind w:firstLine="640" w:firstLineChars="200"/>
        <w:rPr>
          <w:spacing w:val="0"/>
          <w:szCs w:val="32"/>
        </w:rPr>
      </w:pPr>
      <w:r>
        <w:rPr>
          <w:spacing w:val="0"/>
          <w:szCs w:val="32"/>
        </w:rPr>
        <w:t>为进一步规范和指导全省农村生活污水治理工作，持续改善农村生态环境质量，加快推进</w:t>
      </w:r>
      <w:r>
        <w:rPr>
          <w:rFonts w:hint="eastAsia" w:cs="仿宋_GB2312"/>
          <w:spacing w:val="0"/>
          <w:szCs w:val="32"/>
        </w:rPr>
        <w:t>美丽乡村建设，</w:t>
      </w:r>
      <w:r>
        <w:rPr>
          <w:spacing w:val="0"/>
          <w:szCs w:val="32"/>
        </w:rPr>
        <w:t>确保农村生活污水治理落地落实见效，结合我省实际，制定本工作指南。</w:t>
      </w:r>
    </w:p>
    <w:p>
      <w:pPr>
        <w:overflowPunct w:val="0"/>
        <w:topLinePunct/>
        <w:adjustRightInd w:val="0"/>
        <w:snapToGrid w:val="0"/>
        <w:spacing w:line="600" w:lineRule="exact"/>
        <w:ind w:firstLine="640" w:firstLineChars="200"/>
        <w:outlineLvl w:val="0"/>
        <w:rPr>
          <w:rFonts w:eastAsia="黑体"/>
          <w:spacing w:val="0"/>
          <w:szCs w:val="32"/>
        </w:rPr>
      </w:pPr>
      <w:r>
        <w:rPr>
          <w:rFonts w:hint="eastAsia" w:eastAsia="黑体" w:cs="黑体"/>
          <w:spacing w:val="0"/>
          <w:szCs w:val="32"/>
        </w:rPr>
        <w:t xml:space="preserve">1 </w:t>
      </w:r>
      <w:r>
        <w:rPr>
          <w:rFonts w:eastAsia="黑体"/>
          <w:spacing w:val="0"/>
          <w:szCs w:val="32"/>
        </w:rPr>
        <w:t>总则</w:t>
      </w:r>
    </w:p>
    <w:p>
      <w:pPr>
        <w:overflowPunct w:val="0"/>
        <w:topLinePunct/>
        <w:adjustRightInd w:val="0"/>
        <w:snapToGrid w:val="0"/>
        <w:spacing w:line="600" w:lineRule="exact"/>
        <w:ind w:firstLine="640" w:firstLineChars="200"/>
        <w:outlineLvl w:val="1"/>
        <w:rPr>
          <w:rFonts w:eastAsia="楷体_GB2312"/>
          <w:b/>
          <w:bCs/>
          <w:spacing w:val="0"/>
          <w:kern w:val="0"/>
          <w:szCs w:val="32"/>
          <w:lang w:bidi="ar"/>
        </w:rPr>
      </w:pPr>
      <w:r>
        <w:rPr>
          <w:rFonts w:eastAsia="楷体_GB2312"/>
          <w:b/>
          <w:bCs/>
          <w:spacing w:val="0"/>
          <w:kern w:val="0"/>
          <w:szCs w:val="32"/>
          <w:lang w:bidi="ar"/>
        </w:rPr>
        <w:t>1.1</w:t>
      </w:r>
      <w:r>
        <w:rPr>
          <w:rFonts w:hint="eastAsia" w:eastAsia="楷体_GB2312"/>
          <w:b/>
          <w:bCs/>
          <w:spacing w:val="0"/>
          <w:kern w:val="0"/>
          <w:szCs w:val="32"/>
          <w:lang w:bidi="ar"/>
        </w:rPr>
        <w:t>编制目的</w:t>
      </w:r>
    </w:p>
    <w:p>
      <w:pPr>
        <w:overflowPunct w:val="0"/>
        <w:topLinePunct/>
        <w:adjustRightInd w:val="0"/>
        <w:snapToGrid w:val="0"/>
        <w:spacing w:line="600" w:lineRule="exact"/>
        <w:ind w:firstLine="640" w:firstLineChars="200"/>
        <w:rPr>
          <w:spacing w:val="0"/>
          <w:szCs w:val="32"/>
        </w:rPr>
      </w:pPr>
      <w:r>
        <w:rPr>
          <w:spacing w:val="0"/>
          <w:szCs w:val="32"/>
        </w:rPr>
        <w:t>以习近平</w:t>
      </w:r>
      <w:r>
        <w:rPr>
          <w:rFonts w:hint="eastAsia"/>
          <w:spacing w:val="0"/>
          <w:szCs w:val="32"/>
        </w:rPr>
        <w:t>生态文明思想为指导，立足</w:t>
      </w:r>
      <w:r>
        <w:rPr>
          <w:spacing w:val="0"/>
          <w:szCs w:val="32"/>
        </w:rPr>
        <w:t>我省</w:t>
      </w:r>
      <w:r>
        <w:rPr>
          <w:rFonts w:hint="eastAsia"/>
          <w:spacing w:val="0"/>
          <w:szCs w:val="32"/>
        </w:rPr>
        <w:t>实际</w:t>
      </w:r>
      <w:r>
        <w:rPr>
          <w:spacing w:val="0"/>
          <w:szCs w:val="32"/>
        </w:rPr>
        <w:t>，</w:t>
      </w:r>
      <w:r>
        <w:rPr>
          <w:rFonts w:hint="eastAsia"/>
          <w:spacing w:val="0"/>
          <w:szCs w:val="32"/>
        </w:rPr>
        <w:t>有力有序有效推广</w:t>
      </w:r>
      <w:r>
        <w:rPr>
          <w:spacing w:val="0"/>
          <w:szCs w:val="32"/>
        </w:rPr>
        <w:t>浙江</w:t>
      </w:r>
      <w:r>
        <w:rPr>
          <w:rFonts w:hint="eastAsia" w:cs="仿宋_GB2312"/>
          <w:spacing w:val="0"/>
          <w:szCs w:val="32"/>
        </w:rPr>
        <w:t>“千万工程”</w:t>
      </w:r>
      <w:r>
        <w:rPr>
          <w:spacing w:val="0"/>
          <w:szCs w:val="32"/>
        </w:rPr>
        <w:t>经验</w:t>
      </w:r>
      <w:r>
        <w:rPr>
          <w:rFonts w:hint="eastAsia"/>
          <w:spacing w:val="0"/>
          <w:szCs w:val="32"/>
        </w:rPr>
        <w:t>，坚持人民至上、共建共享，数量服从质量、进度服从实效，求好不求快，持续发力、久久为功，以污水减量化、分类就地处理、循环利用为导向，统筹协调、突出重点，因地制宜探索出符合地方实际的农村生活污水治理之路，持续改善农村人居环境，</w:t>
      </w:r>
      <w:r>
        <w:rPr>
          <w:spacing w:val="0"/>
          <w:szCs w:val="32"/>
        </w:rPr>
        <w:t>为推进美丽</w:t>
      </w:r>
      <w:r>
        <w:rPr>
          <w:rFonts w:hint="eastAsia"/>
          <w:spacing w:val="0"/>
          <w:szCs w:val="32"/>
        </w:rPr>
        <w:t>四川</w:t>
      </w:r>
      <w:r>
        <w:rPr>
          <w:spacing w:val="0"/>
          <w:szCs w:val="32"/>
        </w:rPr>
        <w:t>建设打下坚实基础。</w:t>
      </w:r>
    </w:p>
    <w:p>
      <w:pPr>
        <w:overflowPunct w:val="0"/>
        <w:topLinePunct/>
        <w:adjustRightInd w:val="0"/>
        <w:snapToGrid w:val="0"/>
        <w:spacing w:line="600" w:lineRule="exact"/>
        <w:ind w:firstLine="640" w:firstLineChars="200"/>
        <w:outlineLvl w:val="1"/>
        <w:rPr>
          <w:rFonts w:eastAsia="楷体_GB2312"/>
          <w:b/>
          <w:bCs/>
          <w:spacing w:val="0"/>
          <w:kern w:val="0"/>
          <w:szCs w:val="32"/>
          <w:lang w:bidi="ar"/>
        </w:rPr>
      </w:pPr>
      <w:r>
        <w:rPr>
          <w:rFonts w:eastAsia="楷体_GB2312"/>
          <w:b/>
          <w:bCs/>
          <w:spacing w:val="0"/>
          <w:kern w:val="0"/>
          <w:szCs w:val="32"/>
          <w:lang w:bidi="ar"/>
        </w:rPr>
        <w:t>1.2适用范围</w:t>
      </w:r>
    </w:p>
    <w:p>
      <w:pPr>
        <w:overflowPunct w:val="0"/>
        <w:topLinePunct/>
        <w:adjustRightInd w:val="0"/>
        <w:snapToGrid w:val="0"/>
        <w:spacing w:line="600" w:lineRule="exact"/>
        <w:ind w:firstLine="640" w:firstLineChars="200"/>
        <w:rPr>
          <w:spacing w:val="0"/>
          <w:szCs w:val="32"/>
        </w:rPr>
      </w:pPr>
      <w:r>
        <w:rPr>
          <w:spacing w:val="0"/>
          <w:szCs w:val="32"/>
        </w:rPr>
        <w:t>本指南适用于四川省行政区域内农村生活污水</w:t>
      </w:r>
      <w:r>
        <w:rPr>
          <w:rFonts w:hint="eastAsia"/>
          <w:spacing w:val="0"/>
          <w:szCs w:val="32"/>
        </w:rPr>
        <w:t>治理的规划方案编制、组织实施、项目验收、设施运维和成效评估等相关工作</w:t>
      </w:r>
      <w:r>
        <w:rPr>
          <w:spacing w:val="0"/>
          <w:szCs w:val="32"/>
        </w:rPr>
        <w:t>。农村生活污水</w:t>
      </w:r>
      <w:r>
        <w:rPr>
          <w:rFonts w:hint="eastAsia"/>
          <w:spacing w:val="0"/>
          <w:szCs w:val="32"/>
        </w:rPr>
        <w:t>治理工作</w:t>
      </w:r>
      <w:r>
        <w:rPr>
          <w:spacing w:val="0"/>
          <w:szCs w:val="32"/>
        </w:rPr>
        <w:t>除应符合本指南外，还应符合国家、行业和地方现行相关标准</w:t>
      </w:r>
      <w:r>
        <w:rPr>
          <w:rFonts w:hint="eastAsia"/>
          <w:spacing w:val="0"/>
          <w:szCs w:val="32"/>
        </w:rPr>
        <w:t>、</w:t>
      </w:r>
      <w:r>
        <w:rPr>
          <w:spacing w:val="0"/>
          <w:szCs w:val="32"/>
        </w:rPr>
        <w:t>规范</w:t>
      </w:r>
      <w:r>
        <w:rPr>
          <w:rFonts w:hint="eastAsia"/>
          <w:spacing w:val="0"/>
          <w:szCs w:val="32"/>
        </w:rPr>
        <w:t>、</w:t>
      </w:r>
      <w:r>
        <w:rPr>
          <w:spacing w:val="0"/>
          <w:szCs w:val="32"/>
        </w:rPr>
        <w:t>导则</w:t>
      </w:r>
      <w:r>
        <w:rPr>
          <w:rFonts w:hint="eastAsia"/>
          <w:spacing w:val="0"/>
          <w:szCs w:val="32"/>
        </w:rPr>
        <w:t>等</w:t>
      </w:r>
      <w:r>
        <w:rPr>
          <w:spacing w:val="0"/>
          <w:szCs w:val="32"/>
        </w:rPr>
        <w:t>规定。</w:t>
      </w:r>
    </w:p>
    <w:p>
      <w:pPr>
        <w:overflowPunct w:val="0"/>
        <w:topLinePunct/>
        <w:adjustRightInd w:val="0"/>
        <w:snapToGrid w:val="0"/>
        <w:spacing w:line="600" w:lineRule="exact"/>
        <w:ind w:firstLine="640" w:firstLineChars="200"/>
        <w:outlineLvl w:val="0"/>
        <w:rPr>
          <w:rFonts w:eastAsia="黑体"/>
          <w:spacing w:val="0"/>
          <w:szCs w:val="32"/>
          <w:lang w:bidi="ar"/>
        </w:rPr>
      </w:pPr>
      <w:r>
        <w:rPr>
          <w:rFonts w:eastAsia="黑体"/>
          <w:spacing w:val="0"/>
          <w:szCs w:val="32"/>
          <w:lang w:bidi="ar"/>
        </w:rPr>
        <w:t>2</w:t>
      </w:r>
      <w:r>
        <w:rPr>
          <w:rFonts w:hint="eastAsia" w:eastAsia="黑体"/>
          <w:spacing w:val="0"/>
          <w:szCs w:val="32"/>
          <w:lang w:bidi="ar"/>
        </w:rPr>
        <w:t xml:space="preserve"> 治理</w:t>
      </w:r>
      <w:r>
        <w:rPr>
          <w:rFonts w:eastAsia="黑体"/>
          <w:spacing w:val="0"/>
          <w:szCs w:val="32"/>
          <w:lang w:bidi="ar"/>
        </w:rPr>
        <w:t>机制</w:t>
      </w:r>
    </w:p>
    <w:p>
      <w:pPr>
        <w:overflowPunct w:val="0"/>
        <w:topLinePunct/>
        <w:adjustRightInd w:val="0"/>
        <w:snapToGrid w:val="0"/>
        <w:spacing w:line="600" w:lineRule="exact"/>
        <w:ind w:firstLine="640" w:firstLineChars="200"/>
        <w:rPr>
          <w:rFonts w:cs="仿宋_GB2312"/>
          <w:spacing w:val="0"/>
          <w:szCs w:val="32"/>
        </w:rPr>
      </w:pPr>
      <w:r>
        <w:rPr>
          <w:rFonts w:hint="eastAsia" w:cs="仿宋_GB2312"/>
          <w:spacing w:val="0"/>
          <w:szCs w:val="32"/>
        </w:rPr>
        <w:t>2.1鼓励建立县级人民政府主导、法人主体建设运维、部门监管、村民参与的污水治理机制。</w:t>
      </w:r>
    </w:p>
    <w:p>
      <w:pPr>
        <w:overflowPunct w:val="0"/>
        <w:topLinePunct/>
        <w:adjustRightInd w:val="0"/>
        <w:snapToGrid w:val="0"/>
        <w:spacing w:line="600" w:lineRule="exact"/>
        <w:ind w:firstLine="640" w:firstLineChars="200"/>
        <w:rPr>
          <w:rFonts w:cs="仿宋_GB2312"/>
          <w:spacing w:val="0"/>
          <w:szCs w:val="32"/>
        </w:rPr>
      </w:pPr>
      <w:r>
        <w:rPr>
          <w:rFonts w:hint="eastAsia" w:cs="仿宋_GB2312"/>
          <w:spacing w:val="0"/>
          <w:szCs w:val="32"/>
        </w:rPr>
        <w:t>2.2鼓励县级人民政府加强领导，组织整县谋划农村生活污水治理工作，加强部门协作，强化建设运维资金、用地用电及相关政策等保障，着力构建长效工作机制。</w:t>
      </w:r>
    </w:p>
    <w:p>
      <w:pPr>
        <w:overflowPunct w:val="0"/>
        <w:topLinePunct/>
        <w:adjustRightInd w:val="0"/>
        <w:snapToGrid w:val="0"/>
        <w:spacing w:line="600" w:lineRule="exact"/>
        <w:ind w:firstLine="640" w:firstLineChars="200"/>
        <w:jc w:val="left"/>
        <w:rPr>
          <w:rFonts w:cs="仿宋_GB2312"/>
          <w:spacing w:val="0"/>
          <w:szCs w:val="32"/>
          <w:lang w:bidi="ar"/>
        </w:rPr>
      </w:pPr>
      <w:r>
        <w:rPr>
          <w:rFonts w:hint="eastAsia" w:cs="仿宋_GB2312"/>
          <w:spacing w:val="0"/>
          <w:szCs w:val="32"/>
        </w:rPr>
        <w:t>2.3地方应结合自身实际，</w:t>
      </w:r>
      <w:r>
        <w:rPr>
          <w:rFonts w:hint="eastAsia"/>
          <w:spacing w:val="0"/>
          <w:szCs w:val="32"/>
        </w:rPr>
        <w:t>适时</w:t>
      </w:r>
      <w:r>
        <w:rPr>
          <w:rFonts w:hint="eastAsia" w:cs="仿宋_GB2312"/>
          <w:spacing w:val="0"/>
          <w:szCs w:val="32"/>
        </w:rPr>
        <w:t>制（修）订县域农村生活污水处理设施运行维护管理办法，明确治理职责部门、运维管理单位责任。鼓励</w:t>
      </w:r>
      <w:r>
        <w:rPr>
          <w:rFonts w:hint="eastAsia" w:cs="仿宋_GB2312"/>
          <w:spacing w:val="0"/>
          <w:szCs w:val="32"/>
          <w:lang w:bidi="ar"/>
        </w:rPr>
        <w:t>以县级行政区域为单元，推动建立以专业化市场主体为主的建设运维模式，</w:t>
      </w:r>
      <w:r>
        <w:rPr>
          <w:rFonts w:hint="eastAsia" w:cs="仿宋_GB2312"/>
          <w:spacing w:val="0"/>
          <w:szCs w:val="32"/>
        </w:rPr>
        <w:t>探索建立有制度、有标准、有队伍、有经费、有监督的运行管护机制，确保设施持续长期发挥效益。</w:t>
      </w:r>
    </w:p>
    <w:p>
      <w:pPr>
        <w:overflowPunct w:val="0"/>
        <w:topLinePunct/>
        <w:adjustRightInd w:val="0"/>
        <w:snapToGrid w:val="0"/>
        <w:spacing w:line="600" w:lineRule="exact"/>
        <w:ind w:firstLine="640" w:firstLineChars="200"/>
        <w:rPr>
          <w:rFonts w:cs="仿宋_GB2312"/>
          <w:spacing w:val="0"/>
          <w:szCs w:val="32"/>
        </w:rPr>
      </w:pPr>
      <w:r>
        <w:rPr>
          <w:rFonts w:hint="eastAsia" w:cs="仿宋_GB2312"/>
          <w:spacing w:val="0"/>
          <w:szCs w:val="32"/>
        </w:rPr>
        <w:t>2.4加强对农村生活污水治理成效的评估监督，推动有关工程建设质量监管部门加强农村生活污水治理相关工程设施的质量监管，推动设施运维主管部门加强运行状况日常监管。鼓励各地积极探索符合自身实际的农村生活污水治理考核评估机制，强化考核评估结果应用。</w:t>
      </w:r>
    </w:p>
    <w:p>
      <w:pPr>
        <w:overflowPunct w:val="0"/>
        <w:topLinePunct/>
        <w:adjustRightInd w:val="0"/>
        <w:snapToGrid w:val="0"/>
        <w:spacing w:line="600" w:lineRule="exact"/>
        <w:ind w:firstLine="640" w:firstLineChars="200"/>
        <w:rPr>
          <w:spacing w:val="0"/>
        </w:rPr>
      </w:pPr>
      <w:r>
        <w:rPr>
          <w:rFonts w:hint="eastAsia" w:cs="仿宋_GB2312"/>
          <w:spacing w:val="0"/>
          <w:szCs w:val="32"/>
        </w:rPr>
        <w:t>2.5鼓励农村居民参与</w:t>
      </w:r>
      <w:r>
        <w:rPr>
          <w:rFonts w:hint="eastAsia"/>
          <w:spacing w:val="0"/>
          <w:kern w:val="0"/>
          <w:szCs w:val="32"/>
          <w:lang w:bidi="ar"/>
        </w:rPr>
        <w:t>农村生活污水治理项目的规划、建设、验收和运维，增强农民群众的环保意识和参与意识，努力营造共商、共建、共治、共享的良好氛围。</w:t>
      </w:r>
    </w:p>
    <w:p>
      <w:pPr>
        <w:overflowPunct w:val="0"/>
        <w:topLinePunct/>
        <w:adjustRightInd w:val="0"/>
        <w:snapToGrid w:val="0"/>
        <w:spacing w:line="600" w:lineRule="exact"/>
        <w:ind w:firstLine="640" w:firstLineChars="200"/>
        <w:outlineLvl w:val="0"/>
        <w:rPr>
          <w:rFonts w:eastAsia="黑体"/>
          <w:spacing w:val="0"/>
          <w:szCs w:val="32"/>
        </w:rPr>
      </w:pPr>
      <w:r>
        <w:rPr>
          <w:rFonts w:eastAsia="黑体"/>
          <w:spacing w:val="0"/>
          <w:szCs w:val="32"/>
        </w:rPr>
        <w:t>3</w:t>
      </w:r>
      <w:r>
        <w:rPr>
          <w:rFonts w:hint="eastAsia" w:eastAsia="黑体"/>
          <w:spacing w:val="0"/>
          <w:szCs w:val="32"/>
        </w:rPr>
        <w:t xml:space="preserve"> 治理</w:t>
      </w:r>
      <w:r>
        <w:rPr>
          <w:rFonts w:eastAsia="黑体"/>
          <w:spacing w:val="0"/>
          <w:szCs w:val="32"/>
        </w:rPr>
        <w:t>规划</w:t>
      </w:r>
    </w:p>
    <w:p>
      <w:pPr>
        <w:overflowPunct w:val="0"/>
        <w:topLinePunct/>
        <w:adjustRightInd w:val="0"/>
        <w:snapToGrid w:val="0"/>
        <w:spacing w:line="600" w:lineRule="exact"/>
        <w:ind w:firstLine="640" w:firstLineChars="200"/>
        <w:rPr>
          <w:spacing w:val="0"/>
          <w:szCs w:val="32"/>
        </w:rPr>
      </w:pPr>
      <w:r>
        <w:rPr>
          <w:rFonts w:hint="eastAsia"/>
          <w:spacing w:val="0"/>
          <w:szCs w:val="32"/>
        </w:rPr>
        <w:t>3.1县级农村生活污水治理主管部门应加强与相关部门协作，组织编制或修订县域农村生活污水治理规划，可纳入县域农村人居环境整治规划或方案统筹考虑，合理确定治理目标任务和工作时序。各市（州）可根据需求编制相应规划，统筹指导辖区内农村生活污水治理。</w:t>
      </w:r>
    </w:p>
    <w:p>
      <w:pPr>
        <w:overflowPunct w:val="0"/>
        <w:topLinePunct/>
        <w:adjustRightInd w:val="0"/>
        <w:snapToGrid w:val="0"/>
        <w:spacing w:line="620" w:lineRule="exact"/>
        <w:ind w:firstLine="640" w:firstLineChars="200"/>
        <w:rPr>
          <w:spacing w:val="0"/>
          <w:szCs w:val="32"/>
        </w:rPr>
      </w:pPr>
      <w:r>
        <w:rPr>
          <w:rFonts w:hint="eastAsia"/>
          <w:spacing w:val="0"/>
          <w:szCs w:val="32"/>
        </w:rPr>
        <w:t>3.2规划编制应遵循“因地制宜、尊重习俗，经济实用、利用为先，分类治理、梯次推进，建管并重、效果长远”的原则，有效衔接上位规划和相关部门专项规划，</w:t>
      </w:r>
      <w:r>
        <w:rPr>
          <w:spacing w:val="0"/>
          <w:szCs w:val="32"/>
        </w:rPr>
        <w:t>原则上5年</w:t>
      </w:r>
      <w:r>
        <w:rPr>
          <w:rFonts w:hint="eastAsia"/>
          <w:spacing w:val="0"/>
          <w:szCs w:val="32"/>
        </w:rPr>
        <w:t>编制一次，与国民经济和社会发展规划的年限一致。</w:t>
      </w:r>
    </w:p>
    <w:p>
      <w:pPr>
        <w:overflowPunct w:val="0"/>
        <w:topLinePunct/>
        <w:adjustRightInd w:val="0"/>
        <w:snapToGrid w:val="0"/>
        <w:spacing w:line="620" w:lineRule="exact"/>
        <w:ind w:firstLine="640" w:firstLineChars="200"/>
        <w:rPr>
          <w:spacing w:val="0"/>
          <w:szCs w:val="32"/>
        </w:rPr>
      </w:pPr>
      <w:r>
        <w:rPr>
          <w:rFonts w:hint="eastAsia"/>
          <w:spacing w:val="0"/>
          <w:szCs w:val="32"/>
        </w:rPr>
        <w:t>3.3规划要准确把握与统筹近期目标与远期目标、设施新建与优化改造、项目建设与运维管理、“厕所革命”与污水处理、黑水与灰水收集处理、达标排放与资源化利用等关系，补齐设施建设短板，稳步推进农村生活污水治理工作。</w:t>
      </w:r>
    </w:p>
    <w:p>
      <w:pPr>
        <w:overflowPunct w:val="0"/>
        <w:topLinePunct/>
        <w:adjustRightInd w:val="0"/>
        <w:snapToGrid w:val="0"/>
        <w:spacing w:line="620" w:lineRule="exact"/>
        <w:ind w:firstLine="640" w:firstLineChars="200"/>
        <w:rPr>
          <w:spacing w:val="0"/>
        </w:rPr>
      </w:pPr>
      <w:r>
        <w:rPr>
          <w:rFonts w:hint="eastAsia"/>
          <w:spacing w:val="0"/>
          <w:szCs w:val="32"/>
        </w:rPr>
        <w:t>3.4将乡政府驻地或中心村，生活污水乱倒乱排严重、群众反映强烈的村庄，已开展水冲式厕所改造、厕所粪污去向难以解决的村庄，位于饮用水水源保护区的村庄，位于重点湖库周边或水质需改善水体的汇水范围或生态敏感区的村庄作为治理重点，优先推进治理工作。</w:t>
      </w:r>
    </w:p>
    <w:p>
      <w:pPr>
        <w:overflowPunct w:val="0"/>
        <w:topLinePunct/>
        <w:adjustRightInd w:val="0"/>
        <w:snapToGrid w:val="0"/>
        <w:spacing w:line="620" w:lineRule="exact"/>
        <w:ind w:firstLine="640" w:firstLineChars="200"/>
        <w:rPr>
          <w:spacing w:val="0"/>
          <w:szCs w:val="32"/>
        </w:rPr>
      </w:pPr>
      <w:r>
        <w:rPr>
          <w:rFonts w:hint="eastAsia"/>
          <w:spacing w:val="0"/>
          <w:szCs w:val="32"/>
        </w:rPr>
        <w:t>3.5</w:t>
      </w:r>
      <w:r>
        <w:rPr>
          <w:spacing w:val="0"/>
          <w:szCs w:val="32"/>
        </w:rPr>
        <w:t>建立政府主导、专家论证、公众参与的决策机制，</w:t>
      </w:r>
      <w:r>
        <w:rPr>
          <w:rFonts w:hint="eastAsia"/>
          <w:spacing w:val="0"/>
          <w:szCs w:val="32"/>
        </w:rPr>
        <w:t>充分征求多方意见，组织专家</w:t>
      </w:r>
      <w:r>
        <w:rPr>
          <w:spacing w:val="0"/>
          <w:szCs w:val="32"/>
        </w:rPr>
        <w:t>审查</w:t>
      </w:r>
      <w:r>
        <w:rPr>
          <w:rFonts w:hint="eastAsia"/>
          <w:spacing w:val="0"/>
          <w:szCs w:val="32"/>
        </w:rPr>
        <w:t>论证</w:t>
      </w:r>
      <w:r>
        <w:rPr>
          <w:spacing w:val="0"/>
          <w:szCs w:val="32"/>
        </w:rPr>
        <w:t>，审查</w:t>
      </w:r>
      <w:r>
        <w:rPr>
          <w:rFonts w:hint="eastAsia"/>
          <w:spacing w:val="0"/>
          <w:szCs w:val="32"/>
        </w:rPr>
        <w:t>通过后按程序报本级人民政府或者其授权的部门批准实施</w:t>
      </w:r>
      <w:r>
        <w:rPr>
          <w:spacing w:val="0"/>
          <w:szCs w:val="32"/>
        </w:rPr>
        <w:t>。</w:t>
      </w:r>
    </w:p>
    <w:p>
      <w:pPr>
        <w:overflowPunct w:val="0"/>
        <w:topLinePunct/>
        <w:adjustRightInd w:val="0"/>
        <w:snapToGrid w:val="0"/>
        <w:spacing w:line="620" w:lineRule="exact"/>
        <w:ind w:firstLine="640" w:firstLineChars="200"/>
        <w:rPr>
          <w:spacing w:val="0"/>
          <w:szCs w:val="32"/>
        </w:rPr>
      </w:pPr>
      <w:r>
        <w:rPr>
          <w:rFonts w:hint="eastAsia"/>
          <w:spacing w:val="0"/>
          <w:szCs w:val="32"/>
        </w:rPr>
        <w:t>3.6规划经批准后应向社会公开，接受社会公众监督，同时报送上级主管部门备案。各地应按照规划目标要求，建立年度农村生活污水重点治理行政村清单并动态更新，分年度开展农村生活污水治理。</w:t>
      </w:r>
    </w:p>
    <w:p>
      <w:pPr>
        <w:overflowPunct w:val="0"/>
        <w:topLinePunct/>
        <w:adjustRightInd w:val="0"/>
        <w:snapToGrid w:val="0"/>
        <w:spacing w:line="600" w:lineRule="exact"/>
        <w:ind w:firstLine="640" w:firstLineChars="200"/>
        <w:rPr>
          <w:rFonts w:eastAsia="黑体"/>
          <w:spacing w:val="0"/>
          <w:szCs w:val="32"/>
        </w:rPr>
      </w:pPr>
      <w:r>
        <w:rPr>
          <w:rFonts w:eastAsia="黑体"/>
          <w:spacing w:val="0"/>
          <w:szCs w:val="32"/>
        </w:rPr>
        <w:t>4</w:t>
      </w:r>
      <w:r>
        <w:rPr>
          <w:rFonts w:hint="eastAsia" w:eastAsia="黑体"/>
          <w:spacing w:val="0"/>
          <w:szCs w:val="32"/>
        </w:rPr>
        <w:t xml:space="preserve"> 实施方案</w:t>
      </w:r>
    </w:p>
    <w:p>
      <w:pPr>
        <w:overflowPunct w:val="0"/>
        <w:topLinePunct/>
        <w:adjustRightInd w:val="0"/>
        <w:snapToGrid w:val="0"/>
        <w:spacing w:line="600" w:lineRule="exact"/>
        <w:ind w:firstLine="640" w:firstLineChars="200"/>
        <w:rPr>
          <w:spacing w:val="0"/>
          <w:szCs w:val="32"/>
        </w:rPr>
      </w:pPr>
      <w:r>
        <w:rPr>
          <w:rFonts w:hint="eastAsia" w:eastAsia="方正仿宋_GB2312"/>
          <w:spacing w:val="0"/>
          <w:szCs w:val="32"/>
        </w:rPr>
        <w:t>4.1</w:t>
      </w:r>
      <w:r>
        <w:rPr>
          <w:rFonts w:hint="eastAsia"/>
          <w:spacing w:val="0"/>
          <w:szCs w:val="32"/>
        </w:rPr>
        <w:t>县级</w:t>
      </w:r>
      <w:r>
        <w:rPr>
          <w:spacing w:val="0"/>
          <w:szCs w:val="32"/>
        </w:rPr>
        <w:t>农村生活污水治理主管部门</w:t>
      </w:r>
      <w:r>
        <w:rPr>
          <w:rFonts w:hint="eastAsia"/>
          <w:spacing w:val="0"/>
          <w:szCs w:val="32"/>
        </w:rPr>
        <w:t>应以县（市、区）为单位，</w:t>
      </w:r>
      <w:r>
        <w:rPr>
          <w:spacing w:val="0"/>
          <w:szCs w:val="32"/>
        </w:rPr>
        <w:t>会同有关部门</w:t>
      </w:r>
      <w:r>
        <w:rPr>
          <w:rFonts w:hint="eastAsia"/>
          <w:spacing w:val="0"/>
          <w:szCs w:val="32"/>
        </w:rPr>
        <w:t>科学编制年度实施方案。其中，有农村生活污水治理“千村示范工程”年度任务的县（市、区）应按照相关要求科学编制专项方案，并及时上传至“四川省生态环境保护专项资金项目管理系统”。</w:t>
      </w:r>
    </w:p>
    <w:p>
      <w:pPr>
        <w:overflowPunct w:val="0"/>
        <w:topLinePunct/>
        <w:adjustRightInd w:val="0"/>
        <w:snapToGrid w:val="0"/>
        <w:spacing w:line="600" w:lineRule="exact"/>
        <w:ind w:firstLine="640" w:firstLineChars="200"/>
        <w:rPr>
          <w:spacing w:val="0"/>
          <w:szCs w:val="32"/>
        </w:rPr>
      </w:pPr>
      <w:r>
        <w:rPr>
          <w:rFonts w:hint="eastAsia"/>
          <w:spacing w:val="0"/>
          <w:szCs w:val="32"/>
        </w:rPr>
        <w:t>4.2方案编制要充分结合地方区位条件、地理气候、地形地貌、经济发展水平、农民生产生活习惯、常住人口数量及分布、现有生活污水处理设施现状、排水去向、区域水环境质量改善需求等实际情况，合理确定处理规模、进出水水质、技术工艺、保温措施、设施选址等事项，确保方案的科学性、合理性和针对性。</w:t>
      </w:r>
    </w:p>
    <w:p>
      <w:pPr>
        <w:overflowPunct w:val="0"/>
        <w:topLinePunct/>
        <w:adjustRightInd w:val="0"/>
        <w:snapToGrid w:val="0"/>
        <w:spacing w:line="600" w:lineRule="exact"/>
        <w:ind w:firstLine="640" w:firstLineChars="200"/>
        <w:rPr>
          <w:spacing w:val="0"/>
          <w:szCs w:val="32"/>
        </w:rPr>
      </w:pPr>
      <w:r>
        <w:rPr>
          <w:rFonts w:hint="eastAsia"/>
          <w:spacing w:val="0"/>
          <w:szCs w:val="32"/>
        </w:rPr>
        <w:t>4.3方案</w:t>
      </w:r>
      <w:r>
        <w:rPr>
          <w:spacing w:val="0"/>
          <w:szCs w:val="32"/>
        </w:rPr>
        <w:t>编制</w:t>
      </w:r>
      <w:r>
        <w:rPr>
          <w:rFonts w:hint="eastAsia"/>
          <w:spacing w:val="0"/>
          <w:szCs w:val="32"/>
        </w:rPr>
        <w:t>宜细化到村到户，并充分征求项目实施所在地</w:t>
      </w:r>
      <w:r>
        <w:rPr>
          <w:rFonts w:hint="eastAsia"/>
          <w:spacing w:val="0"/>
          <w:szCs w:val="32"/>
          <w:lang w:bidi="ar"/>
        </w:rPr>
        <w:t>乡镇人民政府（街道办事处）</w:t>
      </w:r>
      <w:r>
        <w:rPr>
          <w:rFonts w:hint="eastAsia"/>
          <w:spacing w:val="0"/>
          <w:szCs w:val="32"/>
        </w:rPr>
        <w:t>、村（居）民委员会及村（居）民代表等意见，避免项目落地困难。</w:t>
      </w:r>
    </w:p>
    <w:p>
      <w:pPr>
        <w:overflowPunct w:val="0"/>
        <w:topLinePunct/>
        <w:adjustRightInd w:val="0"/>
        <w:snapToGrid w:val="0"/>
        <w:spacing w:line="600" w:lineRule="exact"/>
        <w:ind w:firstLine="640" w:firstLineChars="200"/>
        <w:rPr>
          <w:spacing w:val="0"/>
          <w:szCs w:val="32"/>
        </w:rPr>
      </w:pPr>
      <w:r>
        <w:rPr>
          <w:rFonts w:hint="eastAsia"/>
          <w:spacing w:val="0"/>
          <w:kern w:val="0"/>
          <w:szCs w:val="32"/>
          <w:lang w:bidi="ar"/>
        </w:rPr>
        <w:t>4.4充分借鉴已有经验，合理选择治理模式和治理工艺，不搞“一刀切”，在条件具备时优先采用资源化利用治理模式，资源化利用时应明确利用途径，避免造成村庄水体黑臭或水质恶化、土壤和地下水污染等。</w:t>
      </w:r>
    </w:p>
    <w:p>
      <w:pPr>
        <w:overflowPunct w:val="0"/>
        <w:topLinePunct/>
        <w:adjustRightInd w:val="0"/>
        <w:snapToGrid w:val="0"/>
        <w:spacing w:line="600" w:lineRule="exact"/>
        <w:ind w:firstLine="640" w:firstLineChars="200"/>
        <w:rPr>
          <w:spacing w:val="0"/>
          <w:szCs w:val="32"/>
        </w:rPr>
      </w:pPr>
      <w:r>
        <w:rPr>
          <w:rFonts w:hint="eastAsia"/>
          <w:spacing w:val="0"/>
          <w:szCs w:val="32"/>
        </w:rPr>
        <w:t>4.5加强“厕污共治”有效衔接，积极开展试点探索。计划开展水冲式厕所改造的村庄，具备条件的，与农村污水治理一体化推进、同步设计、同步建设、同步运营；确有必要建设相对集中式或集中式农村生活污水处理设施的村庄，要统筹考虑厕所粪污治理。</w:t>
      </w:r>
    </w:p>
    <w:p>
      <w:pPr>
        <w:overflowPunct w:val="0"/>
        <w:topLinePunct/>
        <w:adjustRightInd w:val="0"/>
        <w:snapToGrid w:val="0"/>
        <w:spacing w:line="600" w:lineRule="exact"/>
        <w:ind w:firstLine="640" w:firstLineChars="200"/>
        <w:rPr>
          <w:rFonts w:eastAsia="黑体"/>
          <w:spacing w:val="0"/>
          <w:szCs w:val="32"/>
        </w:rPr>
      </w:pPr>
      <w:r>
        <w:rPr>
          <w:rFonts w:eastAsia="黑体"/>
          <w:spacing w:val="0"/>
          <w:szCs w:val="32"/>
        </w:rPr>
        <w:t>5</w:t>
      </w:r>
      <w:r>
        <w:rPr>
          <w:rFonts w:hint="eastAsia" w:eastAsia="黑体"/>
          <w:spacing w:val="0"/>
          <w:szCs w:val="32"/>
        </w:rPr>
        <w:t xml:space="preserve"> 组织实施</w:t>
      </w:r>
    </w:p>
    <w:p>
      <w:pPr>
        <w:overflowPunct w:val="0"/>
        <w:topLinePunct/>
        <w:adjustRightInd w:val="0"/>
        <w:snapToGrid w:val="0"/>
        <w:spacing w:line="600" w:lineRule="exact"/>
        <w:ind w:firstLine="640" w:firstLineChars="200"/>
        <w:rPr>
          <w:spacing w:val="0"/>
          <w:szCs w:val="32"/>
        </w:rPr>
      </w:pPr>
      <w:r>
        <w:rPr>
          <w:rFonts w:hint="eastAsia"/>
          <w:spacing w:val="0"/>
          <w:szCs w:val="32"/>
        </w:rPr>
        <w:t>5.1建立地方为主、中省补助、社会参与的资金筹措机制，加大对农村生活污水治理的投入力度，积极吸引社会资金参与农村生活污水治理项目。</w:t>
      </w:r>
    </w:p>
    <w:p>
      <w:pPr>
        <w:overflowPunct w:val="0"/>
        <w:topLinePunct/>
        <w:adjustRightInd w:val="0"/>
        <w:snapToGrid w:val="0"/>
        <w:spacing w:line="600" w:lineRule="exact"/>
        <w:ind w:firstLine="640" w:firstLineChars="200"/>
        <w:rPr>
          <w:spacing w:val="0"/>
          <w:szCs w:val="32"/>
        </w:rPr>
      </w:pPr>
      <w:r>
        <w:rPr>
          <w:rFonts w:hint="eastAsia"/>
          <w:spacing w:val="0"/>
          <w:szCs w:val="32"/>
        </w:rPr>
        <w:t>5.2坚持因地制宜，合理选择建设模式。鼓励有条件的地方加强部门协作，探索以县域为单元，推行建管一体化、城乡一体化、供排一体化等农村生活污水治理建设模式；若项目由所在地乡级人民政府及以下单位组织实施，相关部门应加强技术指导和监督管理。</w:t>
      </w:r>
    </w:p>
    <w:p>
      <w:pPr>
        <w:overflowPunct w:val="0"/>
        <w:topLinePunct/>
        <w:adjustRightInd w:val="0"/>
        <w:snapToGrid w:val="0"/>
        <w:spacing w:line="600" w:lineRule="exact"/>
        <w:ind w:firstLine="640" w:firstLineChars="200"/>
        <w:rPr>
          <w:spacing w:val="0"/>
          <w:szCs w:val="32"/>
        </w:rPr>
      </w:pPr>
      <w:r>
        <w:rPr>
          <w:rFonts w:hint="eastAsia"/>
          <w:spacing w:val="0"/>
          <w:szCs w:val="32"/>
        </w:rPr>
        <w:t>5.3项目实施过程中若设计方案与原实施方案不一致，项目建设单位应组织对设计方案变更内容充分论证，并将论证后的方案按程序变更。</w:t>
      </w:r>
    </w:p>
    <w:p>
      <w:pPr>
        <w:overflowPunct w:val="0"/>
        <w:topLinePunct/>
        <w:adjustRightInd w:val="0"/>
        <w:snapToGrid w:val="0"/>
        <w:spacing w:line="600" w:lineRule="exact"/>
        <w:ind w:firstLine="640" w:firstLineChars="200"/>
        <w:rPr>
          <w:spacing w:val="0"/>
          <w:szCs w:val="32"/>
        </w:rPr>
      </w:pPr>
      <w:r>
        <w:rPr>
          <w:rFonts w:hint="eastAsia"/>
          <w:spacing w:val="0"/>
          <w:szCs w:val="32"/>
        </w:rPr>
        <w:t>5.4项目实施时应统筹衔接村庄其他基础设施建设项目，尽可能同步实施，以减少重复投资和建设。</w:t>
      </w:r>
    </w:p>
    <w:p>
      <w:pPr>
        <w:overflowPunct w:val="0"/>
        <w:topLinePunct/>
        <w:adjustRightInd w:val="0"/>
        <w:snapToGrid w:val="0"/>
        <w:spacing w:line="600" w:lineRule="exact"/>
        <w:ind w:firstLine="640" w:firstLineChars="200"/>
        <w:rPr>
          <w:spacing w:val="0"/>
          <w:szCs w:val="32"/>
        </w:rPr>
      </w:pPr>
      <w:r>
        <w:rPr>
          <w:rFonts w:hint="eastAsia"/>
          <w:spacing w:val="0"/>
          <w:szCs w:val="32"/>
        </w:rPr>
        <w:t>5.5坚持“一次建设、长久使用”，精心组织项目实施，严把设备、材料和施工质量关，严格设施建设质量管理，确保“建成一个、运行一个、见效一个、受益一片”。</w:t>
      </w:r>
    </w:p>
    <w:p>
      <w:pPr>
        <w:overflowPunct w:val="0"/>
        <w:topLinePunct/>
        <w:adjustRightInd w:val="0"/>
        <w:snapToGrid w:val="0"/>
        <w:spacing w:line="600" w:lineRule="exact"/>
        <w:ind w:firstLine="640" w:firstLineChars="200"/>
        <w:outlineLvl w:val="0"/>
        <w:rPr>
          <w:rFonts w:eastAsia="黑体"/>
          <w:spacing w:val="0"/>
          <w:szCs w:val="32"/>
        </w:rPr>
      </w:pPr>
      <w:r>
        <w:rPr>
          <w:rFonts w:eastAsia="黑体"/>
          <w:spacing w:val="0"/>
          <w:szCs w:val="32"/>
        </w:rPr>
        <w:t>6</w:t>
      </w:r>
      <w:r>
        <w:rPr>
          <w:rFonts w:hint="eastAsia" w:eastAsia="黑体"/>
          <w:spacing w:val="0"/>
          <w:szCs w:val="32"/>
        </w:rPr>
        <w:t xml:space="preserve"> 项目</w:t>
      </w:r>
      <w:r>
        <w:rPr>
          <w:rFonts w:eastAsia="黑体"/>
          <w:spacing w:val="0"/>
          <w:szCs w:val="32"/>
        </w:rPr>
        <w:t>验收</w:t>
      </w:r>
    </w:p>
    <w:p>
      <w:pPr>
        <w:overflowPunct w:val="0"/>
        <w:topLinePunct/>
        <w:adjustRightInd w:val="0"/>
        <w:snapToGrid w:val="0"/>
        <w:spacing w:line="600" w:lineRule="exact"/>
        <w:ind w:firstLine="640" w:firstLineChars="200"/>
        <w:rPr>
          <w:spacing w:val="0"/>
          <w:kern w:val="0"/>
          <w:szCs w:val="32"/>
          <w:lang w:bidi="ar"/>
        </w:rPr>
      </w:pPr>
      <w:r>
        <w:rPr>
          <w:rFonts w:hint="eastAsia"/>
          <w:spacing w:val="0"/>
          <w:kern w:val="0"/>
          <w:szCs w:val="32"/>
          <w:lang w:bidi="ar"/>
        </w:rPr>
        <w:t>6.1采用地方政府主管、第三方监理、群众代表监督等方式，加强项目验收和档案管理。</w:t>
      </w:r>
    </w:p>
    <w:p>
      <w:pPr>
        <w:overflowPunct w:val="0"/>
        <w:topLinePunct/>
        <w:adjustRightInd w:val="0"/>
        <w:snapToGrid w:val="0"/>
        <w:spacing w:line="600" w:lineRule="exact"/>
        <w:ind w:firstLine="640" w:firstLineChars="200"/>
        <w:rPr>
          <w:spacing w:val="0"/>
          <w:kern w:val="0"/>
          <w:szCs w:val="32"/>
          <w:highlight w:val="yellow"/>
          <w:lang w:bidi="ar"/>
        </w:rPr>
      </w:pPr>
      <w:r>
        <w:rPr>
          <w:rFonts w:hint="eastAsia"/>
          <w:spacing w:val="0"/>
          <w:kern w:val="0"/>
          <w:szCs w:val="32"/>
          <w:lang w:bidi="ar"/>
        </w:rPr>
        <w:t>6.</w:t>
      </w:r>
      <w:r>
        <w:rPr>
          <w:spacing w:val="0"/>
          <w:kern w:val="0"/>
          <w:szCs w:val="32"/>
          <w:lang w:bidi="ar"/>
        </w:rPr>
        <w:t>2</w:t>
      </w:r>
      <w:r>
        <w:rPr>
          <w:rFonts w:hint="eastAsia"/>
          <w:spacing w:val="0"/>
          <w:kern w:val="0"/>
          <w:szCs w:val="32"/>
          <w:lang w:bidi="ar"/>
        </w:rPr>
        <w:t>验收采取查阅档案资料、现场检查和走访当地群众等方式进行。项目施工单位完成单个项目全部建设内容，且经调试和自检合格后，应及时向建设单位提出项目验收申请，并按要求提交相应验收资料，验收资料包括但不限于项目前期资料、实施过程资料和水质监测报告等。原则上验收工作应在项目建设完成后</w:t>
      </w:r>
      <w:r>
        <w:rPr>
          <w:spacing w:val="0"/>
          <w:kern w:val="0"/>
          <w:szCs w:val="32"/>
          <w:lang w:bidi="ar"/>
        </w:rPr>
        <w:t>3</w:t>
      </w:r>
      <w:r>
        <w:rPr>
          <w:rFonts w:hint="eastAsia"/>
          <w:spacing w:val="0"/>
          <w:kern w:val="0"/>
          <w:szCs w:val="32"/>
          <w:lang w:bidi="ar"/>
        </w:rPr>
        <w:t>个月内完成。</w:t>
      </w:r>
    </w:p>
    <w:p>
      <w:pPr>
        <w:overflowPunct w:val="0"/>
        <w:topLinePunct/>
        <w:adjustRightInd w:val="0"/>
        <w:snapToGrid w:val="0"/>
        <w:spacing w:line="600" w:lineRule="exact"/>
        <w:ind w:firstLine="640" w:firstLineChars="200"/>
        <w:rPr>
          <w:spacing w:val="0"/>
          <w:kern w:val="0"/>
          <w:szCs w:val="32"/>
          <w:lang w:bidi="ar"/>
        </w:rPr>
      </w:pPr>
      <w:r>
        <w:rPr>
          <w:rFonts w:hint="eastAsia"/>
          <w:spacing w:val="0"/>
          <w:kern w:val="0"/>
          <w:szCs w:val="32"/>
          <w:lang w:bidi="ar"/>
        </w:rPr>
        <w:t>6.</w:t>
      </w:r>
      <w:r>
        <w:rPr>
          <w:spacing w:val="0"/>
          <w:kern w:val="0"/>
          <w:szCs w:val="32"/>
          <w:lang w:bidi="ar"/>
        </w:rPr>
        <w:t>3</w:t>
      </w:r>
      <w:r>
        <w:rPr>
          <w:rFonts w:hint="eastAsia"/>
          <w:spacing w:val="0"/>
          <w:kern w:val="0"/>
          <w:szCs w:val="32"/>
          <w:lang w:bidi="ar"/>
        </w:rPr>
        <w:t>项目建设单位组织</w:t>
      </w:r>
      <w:r>
        <w:rPr>
          <w:spacing w:val="0"/>
          <w:kern w:val="0"/>
          <w:szCs w:val="32"/>
          <w:lang w:bidi="ar"/>
        </w:rPr>
        <w:t>有</w:t>
      </w:r>
      <w:r>
        <w:rPr>
          <w:rFonts w:hint="eastAsia"/>
          <w:spacing w:val="0"/>
          <w:kern w:val="0"/>
          <w:szCs w:val="32"/>
          <w:lang w:bidi="ar"/>
        </w:rPr>
        <w:t>关单位共同开展项目验收</w:t>
      </w:r>
      <w:r>
        <w:rPr>
          <w:rFonts w:hint="eastAsia"/>
          <w:spacing w:val="0"/>
          <w:szCs w:val="32"/>
          <w:lang w:bidi="ar"/>
        </w:rPr>
        <w:t>工作，并邀请乡镇人民政府（街道办事处）、村（居）民委员会及村（居）民代表等参与验收，县（市、区）相关业务主管部门应加强</w:t>
      </w:r>
      <w:r>
        <w:rPr>
          <w:rFonts w:hint="eastAsia"/>
          <w:spacing w:val="0"/>
          <w:kern w:val="0"/>
          <w:szCs w:val="32"/>
          <w:lang w:bidi="ar"/>
        </w:rPr>
        <w:t>项目验收的全过程指导和监督管理。</w:t>
      </w:r>
    </w:p>
    <w:p>
      <w:pPr>
        <w:overflowPunct w:val="0"/>
        <w:topLinePunct/>
        <w:adjustRightInd w:val="0"/>
        <w:snapToGrid w:val="0"/>
        <w:spacing w:line="600" w:lineRule="exact"/>
        <w:ind w:firstLine="640" w:firstLineChars="200"/>
        <w:rPr>
          <w:spacing w:val="0"/>
          <w:szCs w:val="32"/>
        </w:rPr>
      </w:pPr>
      <w:r>
        <w:rPr>
          <w:rFonts w:hint="eastAsia"/>
          <w:spacing w:val="0"/>
          <w:szCs w:val="32"/>
        </w:rPr>
        <w:t>6.</w:t>
      </w:r>
      <w:r>
        <w:rPr>
          <w:spacing w:val="0"/>
          <w:szCs w:val="32"/>
        </w:rPr>
        <w:t>4</w:t>
      </w:r>
      <w:r>
        <w:rPr>
          <w:rFonts w:hint="eastAsia"/>
          <w:spacing w:val="0"/>
          <w:szCs w:val="32"/>
        </w:rPr>
        <w:t>执行达标排放的项目验收应开展水质监测，监测指标需满足相关排放标准要求。对于设计处理规模20吨/日及以上的设施，每座应提交2份进、出水水质监测报告，两次监测间隔不得少于5天。对于设计处理规模5吨/日（含）~20吨/日（不含）的设施，每座应提交1份出水水质监测报告。对于设计处理规模5吨/日以下的设施，</w:t>
      </w:r>
      <w:r>
        <w:rPr>
          <w:rFonts w:hint="eastAsia"/>
          <w:spacing w:val="0"/>
          <w:szCs w:val="32"/>
          <w:lang w:bidi="ar"/>
        </w:rPr>
        <w:t>同一工艺类型整村建设数量在</w:t>
      </w:r>
      <w:r>
        <w:rPr>
          <w:rFonts w:hint="eastAsia"/>
          <w:spacing w:val="0"/>
          <w:szCs w:val="32"/>
        </w:rPr>
        <w:t>10座及以上的，每种工艺应至少选取3座设施进行出水水质监测，每座设施应提交不少于1份监测报告；</w:t>
      </w:r>
      <w:r>
        <w:rPr>
          <w:rFonts w:hint="eastAsia"/>
          <w:spacing w:val="0"/>
          <w:szCs w:val="32"/>
          <w:lang w:bidi="ar"/>
        </w:rPr>
        <w:t>同一工艺类型整村建设数量在</w:t>
      </w:r>
      <w:r>
        <w:rPr>
          <w:rFonts w:hint="eastAsia"/>
          <w:spacing w:val="0"/>
          <w:szCs w:val="32"/>
        </w:rPr>
        <w:t>10座以下的，每种工艺应至少选取1座设施进行出水水质监测，提交不少于1份监测报告。</w:t>
      </w:r>
    </w:p>
    <w:p>
      <w:pPr>
        <w:overflowPunct w:val="0"/>
        <w:topLinePunct/>
        <w:adjustRightInd w:val="0"/>
        <w:snapToGrid w:val="0"/>
        <w:spacing w:line="600" w:lineRule="exact"/>
        <w:ind w:firstLine="640" w:firstLineChars="200"/>
        <w:rPr>
          <w:spacing w:val="0"/>
          <w:kern w:val="0"/>
          <w:szCs w:val="32"/>
          <w:lang w:bidi="ar"/>
        </w:rPr>
      </w:pPr>
      <w:r>
        <w:rPr>
          <w:rFonts w:hint="eastAsia"/>
          <w:spacing w:val="0"/>
          <w:szCs w:val="32"/>
        </w:rPr>
        <w:t>6.5资料</w:t>
      </w:r>
      <w:r>
        <w:rPr>
          <w:rFonts w:hint="eastAsia"/>
          <w:spacing w:val="0"/>
          <w:kern w:val="0"/>
          <w:szCs w:val="32"/>
          <w:lang w:bidi="ar"/>
        </w:rPr>
        <w:t>验收时应加强资料审核，</w:t>
      </w:r>
      <w:r>
        <w:rPr>
          <w:rFonts w:hint="eastAsia"/>
          <w:spacing w:val="0"/>
          <w:szCs w:val="32"/>
        </w:rPr>
        <w:t>现场验收应根据相关规范和文件进行，</w:t>
      </w:r>
      <w:r>
        <w:rPr>
          <w:rFonts w:hint="eastAsia"/>
          <w:spacing w:val="0"/>
          <w:kern w:val="0"/>
          <w:szCs w:val="32"/>
          <w:lang w:bidi="ar"/>
        </w:rPr>
        <w:t>验收中发现存在工程缺项、重大安全隐患和未达到设计要求等严重问题的，不予通过</w:t>
      </w:r>
      <w:r>
        <w:rPr>
          <w:rFonts w:hint="eastAsia"/>
          <w:spacing w:val="0"/>
          <w:szCs w:val="32"/>
        </w:rPr>
        <w:t>验收，并提出整改意见，由相关单位限时完成整改后再次开展验收。</w:t>
      </w:r>
    </w:p>
    <w:p>
      <w:pPr>
        <w:overflowPunct w:val="0"/>
        <w:topLinePunct/>
        <w:adjustRightInd w:val="0"/>
        <w:snapToGrid w:val="0"/>
        <w:spacing w:line="600" w:lineRule="exact"/>
        <w:ind w:firstLine="640" w:firstLineChars="200"/>
        <w:jc w:val="left"/>
        <w:rPr>
          <w:spacing w:val="0"/>
          <w:szCs w:val="32"/>
        </w:rPr>
      </w:pPr>
      <w:r>
        <w:rPr>
          <w:rFonts w:hint="eastAsia"/>
          <w:spacing w:val="0"/>
          <w:szCs w:val="32"/>
        </w:rPr>
        <w:t>6</w:t>
      </w:r>
      <w:r>
        <w:rPr>
          <w:spacing w:val="0"/>
          <w:szCs w:val="32"/>
        </w:rPr>
        <w:t>.</w:t>
      </w:r>
      <w:r>
        <w:rPr>
          <w:rFonts w:hint="eastAsia"/>
          <w:spacing w:val="0"/>
          <w:szCs w:val="32"/>
        </w:rPr>
        <w:t>6项目建设资料完整、水质监测结果和现场验收均满足有关要求，方可视为项目验收合格。验收完成后，建设单位应将项目相关全部资料分类存档保管。</w:t>
      </w:r>
    </w:p>
    <w:p>
      <w:pPr>
        <w:overflowPunct w:val="0"/>
        <w:topLinePunct/>
        <w:adjustRightInd w:val="0"/>
        <w:snapToGrid w:val="0"/>
        <w:spacing w:line="600" w:lineRule="exact"/>
        <w:ind w:firstLine="640" w:firstLineChars="200"/>
        <w:outlineLvl w:val="0"/>
        <w:rPr>
          <w:rFonts w:eastAsia="楷体_GB2312"/>
          <w:b/>
          <w:bCs/>
          <w:spacing w:val="0"/>
          <w:kern w:val="0"/>
          <w:szCs w:val="32"/>
          <w:lang w:bidi="ar"/>
        </w:rPr>
      </w:pPr>
      <w:r>
        <w:rPr>
          <w:rFonts w:eastAsia="楷体_GB2312"/>
          <w:b/>
          <w:bCs/>
          <w:spacing w:val="0"/>
          <w:kern w:val="0"/>
          <w:szCs w:val="32"/>
          <w:lang w:bidi="ar"/>
        </w:rPr>
        <w:t>7</w:t>
      </w:r>
      <w:r>
        <w:rPr>
          <w:rFonts w:hint="eastAsia" w:eastAsia="楷体_GB2312"/>
          <w:b/>
          <w:bCs/>
          <w:spacing w:val="0"/>
          <w:kern w:val="0"/>
          <w:szCs w:val="32"/>
          <w:lang w:bidi="ar"/>
        </w:rPr>
        <w:t xml:space="preserve"> </w:t>
      </w:r>
      <w:r>
        <w:rPr>
          <w:rFonts w:eastAsia="黑体"/>
          <w:spacing w:val="0"/>
          <w:szCs w:val="32"/>
        </w:rPr>
        <w:t>运维管理</w:t>
      </w:r>
    </w:p>
    <w:p>
      <w:pPr>
        <w:overflowPunct w:val="0"/>
        <w:topLinePunct/>
        <w:adjustRightInd w:val="0"/>
        <w:snapToGrid w:val="0"/>
        <w:spacing w:line="600" w:lineRule="exact"/>
        <w:ind w:firstLine="640" w:firstLineChars="200"/>
        <w:rPr>
          <w:rFonts w:cs="仿宋_GB2312"/>
          <w:spacing w:val="0"/>
          <w:szCs w:val="32"/>
          <w:lang w:bidi="ar"/>
        </w:rPr>
      </w:pPr>
      <w:r>
        <w:rPr>
          <w:rFonts w:hint="eastAsia"/>
          <w:spacing w:val="0"/>
          <w:szCs w:val="32"/>
        </w:rPr>
        <w:t>7.1严格落实《四川省</w:t>
      </w:r>
      <w:r>
        <w:rPr>
          <w:rFonts w:hint="eastAsia" w:cs="仿宋_GB2312"/>
          <w:spacing w:val="0"/>
          <w:szCs w:val="32"/>
        </w:rPr>
        <w:t>农村生活污水处理设施运行维护</w:t>
      </w:r>
      <w:r>
        <w:rPr>
          <w:rFonts w:hint="eastAsia"/>
          <w:spacing w:val="0"/>
          <w:szCs w:val="32"/>
        </w:rPr>
        <w:t>管理办法》（川环规〔2024〕1号）有关要求，确保设施管理有序、运转良好，充分发挥效益。</w:t>
      </w:r>
      <w:r>
        <w:rPr>
          <w:rFonts w:hint="eastAsia" w:cs="仿宋_GB2312"/>
          <w:spacing w:val="0"/>
          <w:szCs w:val="32"/>
          <w:lang w:bidi="ar"/>
        </w:rPr>
        <w:t>有条件的地区，特别是已实现城乡一体化供水地区以及生活污水资源化集中利用地区，因地制宜探索建立受益农户付费制度。</w:t>
      </w:r>
    </w:p>
    <w:p>
      <w:pPr>
        <w:overflowPunct w:val="0"/>
        <w:topLinePunct/>
        <w:adjustRightInd w:val="0"/>
        <w:snapToGrid w:val="0"/>
        <w:spacing w:line="600" w:lineRule="exact"/>
        <w:ind w:firstLine="640" w:firstLineChars="200"/>
        <w:rPr>
          <w:spacing w:val="0"/>
          <w:szCs w:val="32"/>
        </w:rPr>
      </w:pPr>
      <w:r>
        <w:rPr>
          <w:rFonts w:hint="eastAsia"/>
          <w:spacing w:val="0"/>
          <w:szCs w:val="32"/>
        </w:rPr>
        <w:t>7.2积极探索符合当地实际情况的农村生活污水处理设施运维管理模式。鼓励以县（市、区）为单位委托有实力的专业企业作为运维单位，运维管理农村生活污水处理设施。对于规模较小、工艺相对简单、操作简便的农村生活污水处理设施，可根据当地实际，采用乡镇（街道）或村（社区）属地自行运维的模式。</w:t>
      </w:r>
    </w:p>
    <w:p>
      <w:pPr>
        <w:overflowPunct w:val="0"/>
        <w:topLinePunct/>
        <w:adjustRightInd w:val="0"/>
        <w:snapToGrid w:val="0"/>
        <w:spacing w:line="600" w:lineRule="exact"/>
        <w:ind w:firstLine="640" w:firstLineChars="200"/>
        <w:rPr>
          <w:spacing w:val="0"/>
          <w:szCs w:val="32"/>
        </w:rPr>
      </w:pPr>
      <w:r>
        <w:rPr>
          <w:rFonts w:hint="eastAsia"/>
          <w:spacing w:val="0"/>
          <w:szCs w:val="32"/>
        </w:rPr>
        <w:t>7.3委托专业企业运维的，县级农村生活污水治理主管部门</w:t>
      </w:r>
      <w:r>
        <w:rPr>
          <w:spacing w:val="0"/>
          <w:szCs w:val="32"/>
        </w:rPr>
        <w:t>应</w:t>
      </w:r>
      <w:r>
        <w:rPr>
          <w:rFonts w:hint="eastAsia"/>
          <w:spacing w:val="0"/>
          <w:szCs w:val="32"/>
        </w:rPr>
        <w:t>会同有关部门建立考核评估机制，并将</w:t>
      </w:r>
      <w:r>
        <w:rPr>
          <w:spacing w:val="0"/>
          <w:szCs w:val="32"/>
        </w:rPr>
        <w:t>考核结果作为拨付</w:t>
      </w:r>
      <w:r>
        <w:rPr>
          <w:rFonts w:hint="eastAsia"/>
          <w:spacing w:val="0"/>
          <w:szCs w:val="32"/>
        </w:rPr>
        <w:t>经费</w:t>
      </w:r>
      <w:r>
        <w:rPr>
          <w:spacing w:val="0"/>
          <w:szCs w:val="32"/>
        </w:rPr>
        <w:t>的重要依</w:t>
      </w:r>
      <w:r>
        <w:rPr>
          <w:rFonts w:hint="eastAsia"/>
          <w:spacing w:val="0"/>
          <w:szCs w:val="32"/>
        </w:rPr>
        <w:t>据。属地自行运维的，县级农村生活污水治理主管部门应指导建立日常运维工作机制，确保长期稳定运行。</w:t>
      </w:r>
    </w:p>
    <w:p>
      <w:pPr>
        <w:overflowPunct w:val="0"/>
        <w:topLinePunct/>
        <w:adjustRightInd w:val="0"/>
        <w:snapToGrid w:val="0"/>
        <w:spacing w:line="600" w:lineRule="exact"/>
        <w:ind w:firstLine="640" w:firstLineChars="200"/>
        <w:rPr>
          <w:spacing w:val="0"/>
        </w:rPr>
      </w:pPr>
      <w:r>
        <w:rPr>
          <w:rFonts w:hint="eastAsia"/>
          <w:spacing w:val="0"/>
          <w:kern w:val="0"/>
          <w:szCs w:val="32"/>
          <w:lang w:bidi="ar"/>
        </w:rPr>
        <w:t>7.4各地农村生活污水治理主管部门应加强对辖区内处理设施的</w:t>
      </w:r>
      <w:r>
        <w:rPr>
          <w:rFonts w:hint="eastAsia"/>
          <w:spacing w:val="0"/>
          <w:szCs w:val="32"/>
          <w:lang w:bidi="ar"/>
        </w:rPr>
        <w:t>监督管理，定期开展已建设施排查整改专项行动。设计处理规模</w:t>
      </w:r>
      <w:r>
        <w:rPr>
          <w:spacing w:val="0"/>
          <w:szCs w:val="32"/>
          <w:lang w:bidi="ar"/>
        </w:rPr>
        <w:t>100</w:t>
      </w:r>
      <w:r>
        <w:rPr>
          <w:rFonts w:hint="eastAsia"/>
          <w:spacing w:val="0"/>
          <w:szCs w:val="32"/>
          <w:lang w:bidi="ar"/>
        </w:rPr>
        <w:t>吨/日（含）以上的设施每季度开展一次巡查，</w:t>
      </w:r>
      <w:r>
        <w:rPr>
          <w:rFonts w:hint="eastAsia"/>
          <w:spacing w:val="0"/>
          <w:szCs w:val="32"/>
        </w:rPr>
        <w:t>每半年开展</w:t>
      </w:r>
      <w:r>
        <w:rPr>
          <w:rFonts w:hint="eastAsia"/>
          <w:spacing w:val="0"/>
          <w:szCs w:val="32"/>
          <w:lang w:bidi="ar"/>
        </w:rPr>
        <w:t>一次出水水质监测；设计处理规模20吨/日（含）~</w:t>
      </w:r>
      <w:r>
        <w:rPr>
          <w:spacing w:val="0"/>
          <w:szCs w:val="32"/>
          <w:lang w:bidi="ar"/>
        </w:rPr>
        <w:t>1</w:t>
      </w:r>
      <w:r>
        <w:rPr>
          <w:rFonts w:hint="eastAsia"/>
          <w:spacing w:val="0"/>
          <w:szCs w:val="32"/>
          <w:lang w:bidi="ar"/>
        </w:rPr>
        <w:t>00吨/日的设施每半年开展一次巡查</w:t>
      </w:r>
      <w:r>
        <w:rPr>
          <w:rFonts w:hint="eastAsia"/>
          <w:spacing w:val="0"/>
          <w:szCs w:val="32"/>
        </w:rPr>
        <w:t>和出水水质监测</w:t>
      </w:r>
      <w:r>
        <w:rPr>
          <w:rFonts w:hint="eastAsia"/>
          <w:spacing w:val="0"/>
          <w:szCs w:val="32"/>
          <w:lang w:bidi="ar"/>
        </w:rPr>
        <w:t>；设计处理规模10吨/日（含）~20吨/日的设施每半年开展一次巡查</w:t>
      </w:r>
      <w:r>
        <w:rPr>
          <w:rFonts w:hint="eastAsia"/>
          <w:spacing w:val="0"/>
          <w:szCs w:val="32"/>
        </w:rPr>
        <w:t>，</w:t>
      </w:r>
      <w:r>
        <w:rPr>
          <w:rFonts w:hint="eastAsia"/>
          <w:spacing w:val="0"/>
          <w:szCs w:val="32"/>
          <w:lang w:bidi="ar"/>
        </w:rPr>
        <w:t>每年开展一次</w:t>
      </w:r>
      <w:r>
        <w:rPr>
          <w:rFonts w:hint="eastAsia"/>
          <w:spacing w:val="0"/>
          <w:szCs w:val="32"/>
        </w:rPr>
        <w:t>出水水质监测</w:t>
      </w:r>
      <w:r>
        <w:rPr>
          <w:rFonts w:hint="eastAsia"/>
          <w:spacing w:val="0"/>
          <w:szCs w:val="32"/>
          <w:lang w:bidi="ar"/>
        </w:rPr>
        <w:t>；设计处理规模10吨/日以下的设施按照一定比例抽查，推动设施正常运转。</w:t>
      </w:r>
    </w:p>
    <w:p>
      <w:pPr>
        <w:overflowPunct w:val="0"/>
        <w:topLinePunct/>
        <w:adjustRightInd w:val="0"/>
        <w:snapToGrid w:val="0"/>
        <w:spacing w:line="600" w:lineRule="exact"/>
        <w:ind w:firstLine="640" w:firstLineChars="200"/>
        <w:rPr>
          <w:spacing w:val="0"/>
          <w:szCs w:val="32"/>
        </w:rPr>
      </w:pPr>
      <w:r>
        <w:rPr>
          <w:rFonts w:hint="eastAsia"/>
          <w:spacing w:val="0"/>
          <w:kern w:val="0"/>
          <w:szCs w:val="32"/>
          <w:lang w:bidi="ar"/>
        </w:rPr>
        <w:t>7.5按照《关于进一步推进农村生活污水治理的指导意见》（环办土壤〔2</w:t>
      </w:r>
      <w:r>
        <w:rPr>
          <w:spacing w:val="0"/>
          <w:kern w:val="0"/>
          <w:szCs w:val="32"/>
          <w:lang w:bidi="ar"/>
        </w:rPr>
        <w:t>023</w:t>
      </w:r>
      <w:r>
        <w:rPr>
          <w:rFonts w:hint="eastAsia"/>
          <w:spacing w:val="0"/>
          <w:kern w:val="0"/>
          <w:szCs w:val="32"/>
          <w:lang w:bidi="ar"/>
        </w:rPr>
        <w:t>〕2</w:t>
      </w:r>
      <w:r>
        <w:rPr>
          <w:spacing w:val="0"/>
          <w:kern w:val="0"/>
          <w:szCs w:val="32"/>
          <w:lang w:bidi="ar"/>
        </w:rPr>
        <w:t>4号</w:t>
      </w:r>
      <w:r>
        <w:rPr>
          <w:rFonts w:hint="eastAsia"/>
          <w:spacing w:val="0"/>
          <w:kern w:val="0"/>
          <w:szCs w:val="32"/>
          <w:lang w:bidi="ar"/>
        </w:rPr>
        <w:t>）有关要求，有序推进设施分类整改。</w:t>
      </w:r>
      <w:r>
        <w:rPr>
          <w:rFonts w:hint="eastAsia"/>
          <w:spacing w:val="0"/>
          <w:szCs w:val="32"/>
        </w:rPr>
        <w:t>设施长期无法正常运行的，设施资产权属单位应组织开展设施效能评估，仍有利用价值的，制定优化改造方案，尽快恢复正常运行，或</w:t>
      </w:r>
      <w:r>
        <w:rPr>
          <w:rFonts w:hint="eastAsia"/>
          <w:spacing w:val="0"/>
        </w:rPr>
        <w:t>根据实际需要将相关设施设备移至其他区域利用</w:t>
      </w:r>
      <w:r>
        <w:rPr>
          <w:rFonts w:hint="eastAsia"/>
          <w:spacing w:val="0"/>
          <w:szCs w:val="32"/>
        </w:rPr>
        <w:t>；无改造利用价值的，</w:t>
      </w:r>
      <w:r>
        <w:rPr>
          <w:rFonts w:hint="eastAsia"/>
          <w:spacing w:val="0"/>
        </w:rPr>
        <w:t>鼓励县级人民政府制定有关管理办法，依法依规有序退出</w:t>
      </w:r>
      <w:r>
        <w:rPr>
          <w:rFonts w:hint="eastAsia"/>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t>7.6农村生活污水处理设施相关信息发生变化的，县级农村生活污水治理主管部门应及时在省农村生态环境保护信息管理系统填报更新。</w:t>
      </w:r>
    </w:p>
    <w:p>
      <w:pPr>
        <w:overflowPunct w:val="0"/>
        <w:topLinePunct/>
        <w:adjustRightInd w:val="0"/>
        <w:snapToGrid w:val="0"/>
        <w:spacing w:line="600" w:lineRule="exact"/>
        <w:ind w:firstLine="640" w:firstLineChars="200"/>
        <w:outlineLvl w:val="0"/>
        <w:rPr>
          <w:rFonts w:eastAsia="黑体"/>
          <w:spacing w:val="0"/>
          <w:szCs w:val="32"/>
        </w:rPr>
      </w:pPr>
      <w:r>
        <w:rPr>
          <w:rFonts w:eastAsia="黑体"/>
          <w:spacing w:val="0"/>
          <w:szCs w:val="32"/>
        </w:rPr>
        <w:t>8</w:t>
      </w:r>
      <w:r>
        <w:rPr>
          <w:rFonts w:hint="eastAsia" w:eastAsia="黑体"/>
          <w:spacing w:val="0"/>
          <w:szCs w:val="32"/>
        </w:rPr>
        <w:t xml:space="preserve"> </w:t>
      </w:r>
      <w:r>
        <w:rPr>
          <w:rFonts w:eastAsia="黑体"/>
          <w:spacing w:val="0"/>
          <w:szCs w:val="32"/>
        </w:rPr>
        <w:t>成效</w:t>
      </w:r>
      <w:r>
        <w:rPr>
          <w:rFonts w:hint="eastAsia" w:eastAsia="黑体"/>
          <w:spacing w:val="0"/>
          <w:szCs w:val="32"/>
        </w:rPr>
        <w:t>评估</w:t>
      </w:r>
    </w:p>
    <w:p>
      <w:pPr>
        <w:overflowPunct w:val="0"/>
        <w:topLinePunct/>
        <w:adjustRightInd w:val="0"/>
        <w:snapToGrid w:val="0"/>
        <w:spacing w:line="600" w:lineRule="exact"/>
        <w:ind w:firstLine="640" w:firstLineChars="200"/>
        <w:rPr>
          <w:spacing w:val="0"/>
          <w:kern w:val="0"/>
          <w:szCs w:val="32"/>
          <w:lang w:bidi="ar"/>
        </w:rPr>
      </w:pPr>
      <w:r>
        <w:rPr>
          <w:rFonts w:hint="eastAsia" w:eastAsia="楷体_GB2312"/>
          <w:spacing w:val="0"/>
          <w:kern w:val="0"/>
          <w:szCs w:val="32"/>
          <w:lang w:bidi="ar"/>
        </w:rPr>
        <w:t>8</w:t>
      </w:r>
      <w:r>
        <w:rPr>
          <w:rFonts w:eastAsia="楷体_GB2312"/>
          <w:spacing w:val="0"/>
          <w:kern w:val="0"/>
          <w:szCs w:val="32"/>
          <w:lang w:bidi="ar"/>
        </w:rPr>
        <w:t>.1</w:t>
      </w:r>
      <w:r>
        <w:rPr>
          <w:rFonts w:hint="eastAsia"/>
          <w:spacing w:val="0"/>
          <w:kern w:val="0"/>
          <w:szCs w:val="32"/>
          <w:lang w:bidi="ar"/>
        </w:rPr>
        <w:t>市（州）农村生活污水治理主管部门应围绕治理工作推进情况及有关成效，</w:t>
      </w:r>
      <w:r>
        <w:rPr>
          <w:rFonts w:hint="eastAsia"/>
          <w:spacing w:val="0"/>
          <w:szCs w:val="32"/>
        </w:rPr>
        <w:t>自行</w:t>
      </w:r>
      <w:r>
        <w:rPr>
          <w:rFonts w:hint="eastAsia"/>
          <w:spacing w:val="0"/>
          <w:kern w:val="0"/>
          <w:szCs w:val="32"/>
          <w:lang w:bidi="ar"/>
        </w:rPr>
        <w:t>组织</w:t>
      </w:r>
      <w:r>
        <w:rPr>
          <w:rFonts w:hint="eastAsia"/>
          <w:spacing w:val="0"/>
          <w:szCs w:val="32"/>
        </w:rPr>
        <w:t>或委托</w:t>
      </w:r>
      <w:r>
        <w:rPr>
          <w:rFonts w:hint="eastAsia"/>
          <w:spacing w:val="0"/>
          <w:kern w:val="0"/>
          <w:szCs w:val="32"/>
          <w:lang w:bidi="ar"/>
        </w:rPr>
        <w:t>专业机构以县（市、区）为单位，自2</w:t>
      </w:r>
      <w:r>
        <w:rPr>
          <w:spacing w:val="0"/>
          <w:kern w:val="0"/>
          <w:szCs w:val="32"/>
          <w:lang w:bidi="ar"/>
        </w:rPr>
        <w:t>024年起，</w:t>
      </w:r>
      <w:r>
        <w:rPr>
          <w:rFonts w:hint="eastAsia"/>
          <w:spacing w:val="0"/>
          <w:kern w:val="0"/>
          <w:szCs w:val="32"/>
          <w:lang w:bidi="ar"/>
        </w:rPr>
        <w:t>每两年开展一次辖区内农村生活污水治理成效评估。</w:t>
      </w:r>
    </w:p>
    <w:p>
      <w:pPr>
        <w:overflowPunct w:val="0"/>
        <w:topLinePunct/>
        <w:adjustRightInd w:val="0"/>
        <w:snapToGrid w:val="0"/>
        <w:spacing w:line="600" w:lineRule="exact"/>
        <w:ind w:firstLine="640" w:firstLineChars="200"/>
        <w:rPr>
          <w:spacing w:val="0"/>
          <w:kern w:val="0"/>
          <w:szCs w:val="32"/>
          <w:lang w:bidi="ar"/>
        </w:rPr>
      </w:pPr>
      <w:r>
        <w:rPr>
          <w:rFonts w:hint="eastAsia"/>
          <w:spacing w:val="0"/>
          <w:kern w:val="0"/>
          <w:szCs w:val="32"/>
          <w:lang w:bidi="ar"/>
        </w:rPr>
        <w:t>8.2成效评估工作采用评分制（见附表</w:t>
      </w:r>
      <w:r>
        <w:rPr>
          <w:spacing w:val="0"/>
          <w:kern w:val="0"/>
          <w:szCs w:val="32"/>
          <w:lang w:bidi="ar"/>
        </w:rPr>
        <w:t>1</w:t>
      </w:r>
      <w:r>
        <w:rPr>
          <w:rFonts w:hint="eastAsia"/>
          <w:spacing w:val="0"/>
          <w:kern w:val="0"/>
          <w:szCs w:val="32"/>
          <w:lang w:bidi="ar"/>
        </w:rPr>
        <w:t>），评估结果分为4个等级（见附表</w:t>
      </w:r>
      <w:r>
        <w:rPr>
          <w:spacing w:val="0"/>
          <w:kern w:val="0"/>
          <w:szCs w:val="32"/>
          <w:lang w:bidi="ar"/>
        </w:rPr>
        <w:t>2</w:t>
      </w:r>
      <w:r>
        <w:rPr>
          <w:rFonts w:hint="eastAsia"/>
          <w:spacing w:val="0"/>
          <w:kern w:val="0"/>
          <w:szCs w:val="32"/>
          <w:lang w:bidi="ar"/>
        </w:rPr>
        <w:t>）。评估工作完成后应形成评估报告，并于评估当年12月底前报生态环境厅备案。</w:t>
      </w:r>
    </w:p>
    <w:p>
      <w:pPr>
        <w:overflowPunct w:val="0"/>
        <w:topLinePunct/>
        <w:adjustRightInd w:val="0"/>
        <w:snapToGrid w:val="0"/>
        <w:spacing w:line="600" w:lineRule="exact"/>
        <w:ind w:firstLine="640" w:firstLineChars="200"/>
        <w:rPr>
          <w:spacing w:val="0"/>
          <w:kern w:val="0"/>
          <w:szCs w:val="32"/>
          <w:lang w:bidi="ar"/>
        </w:rPr>
      </w:pPr>
      <w:r>
        <w:rPr>
          <w:rFonts w:hint="eastAsia"/>
          <w:spacing w:val="0"/>
          <w:kern w:val="0"/>
          <w:szCs w:val="32"/>
          <w:lang w:bidi="ar"/>
        </w:rPr>
        <w:t>8.3评估范围涵盖已完成农村生活污水治理的所有行政村（涉农社区），已建农村生活污水治理设施（包括处理设施和资源化利用设施）。现场评估村庄抽选数量应满足附表</w:t>
      </w:r>
      <w:r>
        <w:rPr>
          <w:spacing w:val="0"/>
          <w:kern w:val="0"/>
          <w:szCs w:val="32"/>
          <w:lang w:bidi="ar"/>
        </w:rPr>
        <w:t>3</w:t>
      </w:r>
      <w:r>
        <w:rPr>
          <w:rFonts w:hint="eastAsia"/>
          <w:spacing w:val="0"/>
          <w:kern w:val="0"/>
          <w:szCs w:val="32"/>
          <w:lang w:bidi="ar"/>
        </w:rPr>
        <w:t>要求，并开展村民满意度调查，填写村民满意度调查表（见附表4），每个被抽选村庄应调查不少于该村治理户数的10%。</w:t>
      </w:r>
    </w:p>
    <w:p>
      <w:pPr>
        <w:overflowPunct w:val="0"/>
        <w:topLinePunct/>
        <w:adjustRightInd w:val="0"/>
        <w:snapToGrid w:val="0"/>
        <w:spacing w:line="600" w:lineRule="exact"/>
        <w:ind w:firstLine="640" w:firstLineChars="200"/>
        <w:rPr>
          <w:spacing w:val="0"/>
          <w:szCs w:val="32"/>
        </w:rPr>
      </w:pPr>
      <w:r>
        <w:rPr>
          <w:rFonts w:hint="eastAsia"/>
          <w:spacing w:val="0"/>
          <w:szCs w:val="32"/>
        </w:rPr>
        <w:t>8.4</w:t>
      </w:r>
      <w:r>
        <w:rPr>
          <w:rFonts w:hint="eastAsia"/>
          <w:spacing w:val="0"/>
          <w:kern w:val="0"/>
          <w:szCs w:val="32"/>
          <w:lang w:bidi="ar"/>
        </w:rPr>
        <w:t>治理成效评估应重点关注是否</w:t>
      </w:r>
      <w:r>
        <w:rPr>
          <w:spacing w:val="0"/>
          <w:kern w:val="0"/>
          <w:szCs w:val="32"/>
          <w:lang w:bidi="ar"/>
        </w:rPr>
        <w:t>实现</w:t>
      </w:r>
      <w:r>
        <w:rPr>
          <w:rFonts w:hint="eastAsia"/>
          <w:spacing w:val="0"/>
          <w:kern w:val="0"/>
          <w:szCs w:val="32"/>
          <w:lang w:bidi="ar"/>
        </w:rPr>
        <w:t>“</w:t>
      </w:r>
      <w:r>
        <w:rPr>
          <w:spacing w:val="0"/>
          <w:kern w:val="0"/>
          <w:szCs w:val="32"/>
          <w:lang w:bidi="ar"/>
        </w:rPr>
        <w:t>三基本</w:t>
      </w:r>
      <w:r>
        <w:rPr>
          <w:rFonts w:hint="eastAsia"/>
          <w:spacing w:val="0"/>
          <w:kern w:val="0"/>
          <w:szCs w:val="32"/>
          <w:lang w:bidi="ar"/>
        </w:rPr>
        <w:t>”</w:t>
      </w:r>
      <w:r>
        <w:rPr>
          <w:spacing w:val="0"/>
          <w:kern w:val="0"/>
          <w:szCs w:val="32"/>
          <w:lang w:bidi="ar"/>
        </w:rPr>
        <w:t>：</w:t>
      </w:r>
      <w:r>
        <w:rPr>
          <w:rFonts w:hint="eastAsia"/>
          <w:spacing w:val="0"/>
          <w:kern w:val="0"/>
          <w:szCs w:val="32"/>
          <w:lang w:bidi="ar"/>
        </w:rPr>
        <w:t>即基本</w:t>
      </w:r>
      <w:r>
        <w:rPr>
          <w:spacing w:val="0"/>
          <w:kern w:val="0"/>
          <w:szCs w:val="32"/>
          <w:lang w:bidi="ar"/>
        </w:rPr>
        <w:t>看不到污水横流，公共空间基本没有生活污水乱倒乱排现象；基本</w:t>
      </w:r>
      <w:r>
        <w:rPr>
          <w:rFonts w:hint="eastAsia"/>
          <w:spacing w:val="0"/>
          <w:kern w:val="0"/>
          <w:szCs w:val="32"/>
          <w:lang w:bidi="ar"/>
        </w:rPr>
        <w:t>闻不到臭味，公共空间或房前屋后基本没有黑臭水体、臭水沟、臭水坑等；基本听不到村民怨言，治理成效为多数村民群众认可。</w:t>
      </w:r>
    </w:p>
    <w:p>
      <w:pPr>
        <w:overflowPunct w:val="0"/>
        <w:topLinePunct/>
        <w:adjustRightInd w:val="0"/>
        <w:snapToGrid w:val="0"/>
        <w:spacing w:line="600" w:lineRule="exact"/>
        <w:ind w:firstLine="640" w:firstLineChars="200"/>
        <w:rPr>
          <w:spacing w:val="0"/>
        </w:rPr>
      </w:pPr>
      <w:r>
        <w:rPr>
          <w:rFonts w:hint="eastAsia"/>
          <w:spacing w:val="0"/>
          <w:szCs w:val="32"/>
        </w:rPr>
        <w:t>8.5结合成效评估结果，市（州）农村生活污水治理主管部门应督促指导各县（市、区）开展问题整改，原则上在成效评估结果出来后2年内完成整改，市（州）核实整改完成后将有关情况上报生态环境厅。</w:t>
      </w:r>
    </w:p>
    <w:p>
      <w:pPr>
        <w:overflowPunct w:val="0"/>
        <w:topLinePunct/>
        <w:spacing w:line="600" w:lineRule="exact"/>
        <w:ind w:firstLine="640" w:firstLineChars="200"/>
        <w:rPr>
          <w:rFonts w:eastAsia="黑体"/>
          <w:spacing w:val="0"/>
          <w:szCs w:val="32"/>
        </w:rPr>
      </w:pPr>
      <w:r>
        <w:rPr>
          <w:rFonts w:hint="eastAsia"/>
          <w:spacing w:val="0"/>
          <w:szCs w:val="32"/>
        </w:rPr>
        <w:t>8.6各级农村生活污水治理主管部门应加强监督指导，推动工作落地见效。生态环境厅将不定期调度，</w:t>
      </w:r>
      <w:r>
        <w:rPr>
          <w:rFonts w:hint="eastAsia"/>
          <w:spacing w:val="0"/>
          <w:szCs w:val="32"/>
          <w:lang w:bidi="ar"/>
        </w:rPr>
        <w:t>对工作推进有力、治理成效显著的地区，给予通报表扬；</w:t>
      </w:r>
      <w:r>
        <w:rPr>
          <w:rFonts w:hint="eastAsia"/>
          <w:spacing w:val="0"/>
          <w:kern w:val="0"/>
          <w:szCs w:val="32"/>
          <w:lang w:bidi="ar"/>
        </w:rPr>
        <w:t>对存在突出问题的，将视情况进行通报，问题严重的将移交作为省级生态环境保护督察问题线索。</w:t>
      </w:r>
    </w:p>
    <w:p>
      <w:pPr>
        <w:overflowPunct w:val="0"/>
        <w:topLinePunct/>
        <w:adjustRightInd w:val="0"/>
        <w:snapToGrid w:val="0"/>
        <w:spacing w:line="260" w:lineRule="exact"/>
        <w:ind w:firstLine="880" w:firstLineChars="200"/>
        <w:rPr>
          <w:rFonts w:eastAsia="方正小标宋简体"/>
          <w:b/>
          <w:bCs/>
          <w:spacing w:val="0"/>
          <w:sz w:val="44"/>
          <w:szCs w:val="44"/>
        </w:rPr>
      </w:pPr>
    </w:p>
    <w:p>
      <w:pPr>
        <w:overflowPunct w:val="0"/>
        <w:topLinePunct/>
        <w:adjustRightInd w:val="0"/>
        <w:snapToGrid w:val="0"/>
        <w:spacing w:line="260" w:lineRule="exact"/>
        <w:ind w:firstLine="880" w:firstLineChars="200"/>
        <w:rPr>
          <w:rFonts w:eastAsia="方正小标宋简体"/>
          <w:b/>
          <w:bCs/>
          <w:spacing w:val="0"/>
          <w:sz w:val="44"/>
          <w:szCs w:val="44"/>
        </w:rPr>
      </w:pPr>
    </w:p>
    <w:p>
      <w:pPr>
        <w:overflowPunct w:val="0"/>
        <w:topLinePunct/>
        <w:adjustRightInd w:val="0"/>
        <w:snapToGrid w:val="0"/>
        <w:jc w:val="left"/>
        <w:rPr>
          <w:rFonts w:eastAsia="黑体" w:cs="黑体"/>
          <w:spacing w:val="0"/>
          <w:szCs w:val="32"/>
        </w:rPr>
        <w:sectPr>
          <w:footerReference r:id="rId5" w:type="default"/>
          <w:footerReference r:id="rId6" w:type="even"/>
          <w:pgSz w:w="11906" w:h="16838"/>
          <w:pgMar w:top="2098" w:right="1474" w:bottom="1247" w:left="1588" w:header="851" w:footer="992" w:gutter="0"/>
          <w:cols w:space="0" w:num="1"/>
          <w:titlePg/>
          <w:docGrid w:type="linesAndChars" w:linePitch="435" w:charSpace="0"/>
        </w:sectPr>
      </w:pPr>
    </w:p>
    <w:p>
      <w:pPr>
        <w:overflowPunct w:val="0"/>
        <w:topLinePunct/>
        <w:adjustRightInd w:val="0"/>
        <w:snapToGrid w:val="0"/>
        <w:spacing w:line="600" w:lineRule="exact"/>
        <w:jc w:val="left"/>
        <w:rPr>
          <w:rFonts w:eastAsia="黑体" w:cs="黑体"/>
          <w:spacing w:val="0"/>
          <w:szCs w:val="32"/>
        </w:rPr>
      </w:pPr>
      <w:r>
        <w:rPr>
          <w:rFonts w:hint="eastAsia" w:eastAsia="黑体" w:cs="黑体"/>
          <w:spacing w:val="0"/>
          <w:szCs w:val="32"/>
        </w:rPr>
        <w:t>附表</w:t>
      </w:r>
      <w:r>
        <w:rPr>
          <w:rFonts w:eastAsia="黑体" w:cs="黑体"/>
          <w:spacing w:val="0"/>
          <w:szCs w:val="32"/>
        </w:rPr>
        <w:t>1</w:t>
      </w:r>
    </w:p>
    <w:p>
      <w:pPr>
        <w:overflowPunct w:val="0"/>
        <w:topLinePunct/>
        <w:spacing w:line="600" w:lineRule="exact"/>
        <w:rPr>
          <w:rFonts w:eastAsia="宋体" w:cs="Courier New"/>
          <w:spacing w:val="0"/>
          <w:sz w:val="21"/>
          <w:szCs w:val="21"/>
        </w:rPr>
      </w:pPr>
    </w:p>
    <w:p>
      <w:pPr>
        <w:overflowPunct w:val="0"/>
        <w:topLinePunct/>
        <w:adjustRightInd w:val="0"/>
        <w:snapToGrid w:val="0"/>
        <w:spacing w:line="600" w:lineRule="exact"/>
        <w:jc w:val="center"/>
        <w:rPr>
          <w:rFonts w:eastAsia="方正小标宋简体"/>
          <w:spacing w:val="0"/>
          <w:sz w:val="44"/>
          <w:szCs w:val="44"/>
        </w:rPr>
      </w:pPr>
      <w:r>
        <w:rPr>
          <w:rFonts w:hint="eastAsia" w:eastAsia="方正小标宋简体"/>
          <w:spacing w:val="0"/>
          <w:sz w:val="44"/>
          <w:szCs w:val="44"/>
        </w:rPr>
        <w:t>农村生活污水治理成效评估指标表</w:t>
      </w:r>
    </w:p>
    <w:p>
      <w:pPr>
        <w:overflowPunct w:val="0"/>
        <w:topLinePunct/>
        <w:adjustRightInd w:val="0"/>
        <w:snapToGrid w:val="0"/>
        <w:spacing w:line="600" w:lineRule="exact"/>
        <w:jc w:val="center"/>
        <w:rPr>
          <w:rFonts w:eastAsia="方正小标宋简体"/>
          <w:spacing w:val="0"/>
          <w:sz w:val="44"/>
          <w:szCs w:val="44"/>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666"/>
        <w:gridCol w:w="1469"/>
        <w:gridCol w:w="2080"/>
        <w:gridCol w:w="4434"/>
        <w:gridCol w:w="690"/>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trPr>
        <w:tc>
          <w:tcPr>
            <w:tcW w:w="246" w:type="pct"/>
            <w:vAlign w:val="center"/>
          </w:tcPr>
          <w:p>
            <w:pPr>
              <w:overflowPunct w:val="0"/>
              <w:topLinePunct/>
              <w:spacing w:line="360" w:lineRule="exact"/>
              <w:jc w:val="center"/>
              <w:rPr>
                <w:rFonts w:eastAsia="黑体" w:cs="仿宋_GB2312"/>
                <w:spacing w:val="0"/>
                <w:sz w:val="24"/>
              </w:rPr>
            </w:pPr>
            <w:r>
              <w:rPr>
                <w:rFonts w:hint="eastAsia" w:eastAsia="黑体" w:cs="仿宋_GB2312"/>
                <w:bCs/>
                <w:spacing w:val="0"/>
                <w:sz w:val="24"/>
              </w:rPr>
              <w:t>序号</w:t>
            </w:r>
          </w:p>
        </w:tc>
        <w:tc>
          <w:tcPr>
            <w:tcW w:w="543" w:type="pct"/>
            <w:vAlign w:val="center"/>
          </w:tcPr>
          <w:p>
            <w:pPr>
              <w:overflowPunct w:val="0"/>
              <w:topLinePunct/>
              <w:spacing w:line="360" w:lineRule="exact"/>
              <w:jc w:val="center"/>
              <w:rPr>
                <w:rFonts w:eastAsia="黑体" w:cs="仿宋_GB2312"/>
                <w:bCs/>
                <w:color w:val="000000"/>
                <w:spacing w:val="0"/>
                <w:kern w:val="0"/>
                <w:sz w:val="24"/>
                <w:szCs w:val="24"/>
              </w:rPr>
            </w:pPr>
            <w:r>
              <w:rPr>
                <w:rFonts w:hint="eastAsia" w:eastAsia="黑体" w:cs="仿宋_GB2312"/>
                <w:bCs/>
                <w:color w:val="000000"/>
                <w:spacing w:val="0"/>
                <w:kern w:val="0"/>
                <w:sz w:val="24"/>
                <w:szCs w:val="24"/>
              </w:rPr>
              <w:t>一级指标</w:t>
            </w:r>
          </w:p>
        </w:tc>
        <w:tc>
          <w:tcPr>
            <w:tcW w:w="769" w:type="pct"/>
            <w:vAlign w:val="center"/>
          </w:tcPr>
          <w:p>
            <w:pPr>
              <w:overflowPunct w:val="0"/>
              <w:topLinePunct/>
              <w:spacing w:line="360" w:lineRule="exact"/>
              <w:jc w:val="center"/>
              <w:rPr>
                <w:rFonts w:eastAsia="黑体" w:cs="仿宋_GB2312"/>
                <w:spacing w:val="0"/>
                <w:sz w:val="24"/>
              </w:rPr>
            </w:pPr>
            <w:r>
              <w:rPr>
                <w:rFonts w:hint="eastAsia" w:eastAsia="黑体" w:cs="仿宋_GB2312"/>
                <w:bCs/>
                <w:color w:val="000000"/>
                <w:spacing w:val="0"/>
                <w:kern w:val="0"/>
                <w:sz w:val="24"/>
                <w:szCs w:val="24"/>
              </w:rPr>
              <w:t>二级指标</w:t>
            </w:r>
          </w:p>
        </w:tc>
        <w:tc>
          <w:tcPr>
            <w:tcW w:w="1639" w:type="pct"/>
            <w:vAlign w:val="center"/>
          </w:tcPr>
          <w:p>
            <w:pPr>
              <w:overflowPunct w:val="0"/>
              <w:topLinePunct/>
              <w:spacing w:line="360" w:lineRule="exact"/>
              <w:jc w:val="center"/>
              <w:rPr>
                <w:rFonts w:eastAsia="黑体" w:cs="仿宋_GB2312"/>
                <w:bCs/>
                <w:color w:val="000000"/>
                <w:spacing w:val="0"/>
                <w:kern w:val="0"/>
                <w:sz w:val="24"/>
              </w:rPr>
            </w:pPr>
            <w:r>
              <w:rPr>
                <w:rFonts w:hint="eastAsia" w:eastAsia="黑体" w:cs="仿宋_GB2312"/>
                <w:bCs/>
                <w:color w:val="000000"/>
                <w:spacing w:val="0"/>
                <w:kern w:val="0"/>
                <w:sz w:val="24"/>
                <w:szCs w:val="24"/>
              </w:rPr>
              <w:t>指标解释</w:t>
            </w:r>
          </w:p>
        </w:tc>
        <w:tc>
          <w:tcPr>
            <w:tcW w:w="255" w:type="pct"/>
            <w:vAlign w:val="center"/>
          </w:tcPr>
          <w:p>
            <w:pPr>
              <w:overflowPunct w:val="0"/>
              <w:topLinePunct/>
              <w:spacing w:line="360" w:lineRule="exact"/>
              <w:jc w:val="center"/>
              <w:rPr>
                <w:rFonts w:eastAsia="黑体" w:cs="仿宋_GB2312"/>
                <w:bCs/>
                <w:color w:val="000000"/>
                <w:spacing w:val="0"/>
                <w:kern w:val="0"/>
                <w:sz w:val="24"/>
              </w:rPr>
            </w:pPr>
            <w:r>
              <w:rPr>
                <w:rFonts w:hint="eastAsia" w:eastAsia="黑体" w:cs="仿宋_GB2312"/>
                <w:bCs/>
                <w:color w:val="000000"/>
                <w:spacing w:val="0"/>
                <w:kern w:val="0"/>
                <w:sz w:val="24"/>
                <w:szCs w:val="24"/>
              </w:rPr>
              <w:t>分值</w:t>
            </w:r>
          </w:p>
        </w:tc>
        <w:tc>
          <w:tcPr>
            <w:tcW w:w="1548" w:type="pct"/>
            <w:vAlign w:val="center"/>
          </w:tcPr>
          <w:p>
            <w:pPr>
              <w:overflowPunct w:val="0"/>
              <w:topLinePunct/>
              <w:spacing w:line="360" w:lineRule="exact"/>
              <w:jc w:val="center"/>
              <w:rPr>
                <w:rFonts w:eastAsia="黑体" w:cs="仿宋_GB2312"/>
                <w:bCs/>
                <w:color w:val="000000"/>
                <w:spacing w:val="0"/>
                <w:kern w:val="0"/>
                <w:sz w:val="24"/>
              </w:rPr>
            </w:pPr>
            <w:r>
              <w:rPr>
                <w:rFonts w:hint="eastAsia" w:eastAsia="黑体" w:cs="仿宋_GB2312"/>
                <w:bCs/>
                <w:color w:val="000000"/>
                <w:spacing w:val="0"/>
                <w:kern w:val="0"/>
                <w:sz w:val="24"/>
                <w:szCs w:val="24"/>
              </w:rPr>
              <w:t>指标说明及评分标准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000" w:type="pct"/>
            <w:gridSpan w:val="6"/>
            <w:vAlign w:val="center"/>
          </w:tcPr>
          <w:p>
            <w:pPr>
              <w:overflowPunct w:val="0"/>
              <w:topLinePunct/>
              <w:spacing w:line="360" w:lineRule="exact"/>
              <w:rPr>
                <w:rFonts w:eastAsia="楷体_GB2312" w:cs="仿宋_GB2312"/>
                <w:b/>
                <w:bCs/>
                <w:color w:val="000000"/>
                <w:spacing w:val="0"/>
                <w:kern w:val="0"/>
                <w:sz w:val="24"/>
                <w:szCs w:val="24"/>
              </w:rPr>
            </w:pPr>
            <w:r>
              <w:rPr>
                <w:rFonts w:hint="eastAsia" w:eastAsia="楷体_GB2312" w:cs="黑体"/>
                <w:b/>
                <w:spacing w:val="0"/>
                <w:sz w:val="24"/>
                <w:szCs w:val="24"/>
              </w:rPr>
              <w:t>一、基础资料评估（</w:t>
            </w:r>
            <w:r>
              <w:rPr>
                <w:rFonts w:hint="eastAsia" w:eastAsia="楷体_GB2312"/>
                <w:b/>
                <w:spacing w:val="0"/>
                <w:sz w:val="24"/>
                <w:szCs w:val="24"/>
              </w:rPr>
              <w:t>40</w:t>
            </w:r>
            <w:r>
              <w:rPr>
                <w:rFonts w:hint="eastAsia" w:eastAsia="楷体_GB2312" w:cs="黑体"/>
                <w: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b/>
                <w:bCs/>
                <w:color w:val="000000"/>
                <w:spacing w:val="0"/>
                <w:kern w:val="0"/>
                <w:sz w:val="24"/>
              </w:rPr>
            </w:pPr>
            <w:r>
              <w:rPr>
                <w:color w:val="000000"/>
                <w:spacing w:val="0"/>
                <w:kern w:val="0"/>
                <w:sz w:val="24"/>
              </w:rPr>
              <w:t>1</w:t>
            </w:r>
          </w:p>
        </w:tc>
        <w:tc>
          <w:tcPr>
            <w:tcW w:w="543" w:type="pct"/>
            <w:vAlign w:val="center"/>
          </w:tcPr>
          <w:p>
            <w:pPr>
              <w:overflowPunct w:val="0"/>
              <w:topLinePunct/>
              <w:spacing w:line="360" w:lineRule="exact"/>
              <w:jc w:val="center"/>
              <w:rPr>
                <w:rFonts w:cs="仿宋_GB2312"/>
                <w:spacing w:val="0"/>
                <w:sz w:val="24"/>
                <w:szCs w:val="24"/>
              </w:rPr>
            </w:pPr>
            <w:r>
              <w:rPr>
                <w:rFonts w:hint="eastAsia" w:cs="仿宋_GB2312"/>
                <w:spacing w:val="0"/>
                <w:sz w:val="24"/>
                <w:szCs w:val="24"/>
              </w:rPr>
              <w:t>档案资料</w:t>
            </w:r>
          </w:p>
        </w:tc>
        <w:tc>
          <w:tcPr>
            <w:tcW w:w="769" w:type="pct"/>
            <w:vAlign w:val="center"/>
          </w:tcPr>
          <w:p>
            <w:pPr>
              <w:overflowPunct w:val="0"/>
              <w:topLinePunct/>
              <w:adjustRightInd w:val="0"/>
              <w:snapToGrid w:val="0"/>
              <w:spacing w:line="360" w:lineRule="exact"/>
              <w:jc w:val="center"/>
              <w:rPr>
                <w:rFonts w:cs="仿宋_GB2312"/>
                <w:b/>
                <w:bCs/>
                <w:color w:val="000000"/>
                <w:spacing w:val="0"/>
                <w:kern w:val="0"/>
                <w:sz w:val="24"/>
              </w:rPr>
            </w:pPr>
            <w:r>
              <w:rPr>
                <w:rFonts w:hint="eastAsia" w:cs="仿宋_GB2312"/>
                <w:spacing w:val="0"/>
                <w:sz w:val="24"/>
                <w:szCs w:val="24"/>
              </w:rPr>
              <w:t>资料完备性</w:t>
            </w:r>
          </w:p>
        </w:tc>
        <w:tc>
          <w:tcPr>
            <w:tcW w:w="1639" w:type="pct"/>
            <w:vAlign w:val="center"/>
          </w:tcPr>
          <w:p>
            <w:pPr>
              <w:overflowPunct w:val="0"/>
              <w:topLinePunct/>
              <w:adjustRightInd w:val="0"/>
              <w:snapToGrid w:val="0"/>
              <w:spacing w:line="360" w:lineRule="exact"/>
              <w:rPr>
                <w:rFonts w:cs="仿宋_GB2312"/>
                <w:b/>
                <w:bCs/>
                <w:color w:val="000000"/>
                <w:spacing w:val="0"/>
                <w:kern w:val="0"/>
                <w:sz w:val="24"/>
              </w:rPr>
            </w:pPr>
            <w:r>
              <w:rPr>
                <w:rFonts w:hint="eastAsia" w:cs="仿宋_GB2312"/>
                <w:spacing w:val="0"/>
                <w:sz w:val="24"/>
                <w:szCs w:val="24"/>
              </w:rPr>
              <w:t>治理规划以及项目相关方案、设计图纸、竣工验收及移交等资料是否保存完好。</w:t>
            </w:r>
          </w:p>
        </w:tc>
        <w:tc>
          <w:tcPr>
            <w:tcW w:w="255" w:type="pct"/>
            <w:vAlign w:val="center"/>
          </w:tcPr>
          <w:p>
            <w:pPr>
              <w:overflowPunct w:val="0"/>
              <w:topLinePunct/>
              <w:spacing w:line="360" w:lineRule="exact"/>
              <w:jc w:val="center"/>
              <w:rPr>
                <w:rFonts w:cs="仿宋_GB2312"/>
                <w:b/>
                <w:bCs/>
                <w:color w:val="000000"/>
                <w:spacing w:val="0"/>
                <w:kern w:val="0"/>
                <w:sz w:val="24"/>
              </w:rPr>
            </w:pPr>
            <w:r>
              <w:rPr>
                <w:rFonts w:hint="eastAsia"/>
                <w:spacing w:val="0"/>
                <w:sz w:val="24"/>
                <w:szCs w:val="24"/>
              </w:rPr>
              <w:t>3</w:t>
            </w:r>
          </w:p>
        </w:tc>
        <w:tc>
          <w:tcPr>
            <w:tcW w:w="1548" w:type="pct"/>
            <w:vAlign w:val="center"/>
          </w:tcPr>
          <w:p>
            <w:pPr>
              <w:overflowPunct w:val="0"/>
              <w:topLinePunct/>
              <w:adjustRightInd w:val="0"/>
              <w:snapToGrid w:val="0"/>
              <w:spacing w:line="360" w:lineRule="exact"/>
              <w:rPr>
                <w:rFonts w:cs="仿宋_GB2312"/>
                <w:b/>
                <w:bCs/>
                <w:color w:val="000000"/>
                <w:spacing w:val="0"/>
                <w:kern w:val="0"/>
                <w:sz w:val="24"/>
              </w:rPr>
            </w:pPr>
            <w:r>
              <w:rPr>
                <w:rFonts w:hint="eastAsia"/>
                <w:spacing w:val="0"/>
                <w:sz w:val="24"/>
                <w:szCs w:val="24"/>
              </w:rPr>
              <w:t>资料不完整的，发现1处</w:t>
            </w:r>
            <w:r>
              <w:rPr>
                <w:spacing w:val="0"/>
                <w:sz w:val="24"/>
                <w:szCs w:val="24"/>
              </w:rPr>
              <w:t>扣</w:t>
            </w:r>
            <w:r>
              <w:rPr>
                <w:rFonts w:hint="eastAsia"/>
                <w:spacing w:val="0"/>
                <w:sz w:val="24"/>
                <w:szCs w:val="24"/>
              </w:rPr>
              <w:t>0.2</w:t>
            </w:r>
            <w:r>
              <w:rPr>
                <w:spacing w:val="0"/>
                <w:sz w:val="24"/>
                <w:szCs w:val="24"/>
              </w:rPr>
              <w:t>分</w:t>
            </w:r>
            <w:r>
              <w:rPr>
                <w:rFonts w:hint="eastAsia"/>
                <w:spacing w:val="0"/>
                <w:sz w:val="24"/>
                <w:szCs w:val="24"/>
              </w:rPr>
              <w:t>，</w:t>
            </w:r>
            <w:r>
              <w:rPr>
                <w:spacing w:val="0"/>
                <w:sz w:val="24"/>
                <w:szCs w:val="24"/>
              </w:rPr>
              <w:t>扣完为止</w:t>
            </w:r>
            <w:r>
              <w:rPr>
                <w:rFonts w:hint="eastAsia" w:cs="仿宋_GB2312"/>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spacing w:val="0"/>
                <w:sz w:val="24"/>
              </w:rPr>
              <w:t>2</w:t>
            </w:r>
          </w:p>
        </w:tc>
        <w:tc>
          <w:tcPr>
            <w:tcW w:w="543" w:type="pct"/>
            <w:vMerge w:val="restart"/>
            <w:vAlign w:val="center"/>
          </w:tcPr>
          <w:p>
            <w:pPr>
              <w:overflowPunct w:val="0"/>
              <w:topLinePunct/>
              <w:spacing w:line="360" w:lineRule="exact"/>
              <w:jc w:val="center"/>
              <w:rPr>
                <w:rFonts w:cs="仿宋_GB2312"/>
                <w:spacing w:val="0"/>
                <w:sz w:val="24"/>
                <w:szCs w:val="24"/>
              </w:rPr>
            </w:pPr>
            <w:r>
              <w:rPr>
                <w:rFonts w:hint="eastAsia" w:cs="仿宋_GB2312"/>
                <w:spacing w:val="0"/>
                <w:sz w:val="24"/>
                <w:szCs w:val="24"/>
              </w:rPr>
              <w:t>项目决策</w:t>
            </w:r>
          </w:p>
        </w:tc>
        <w:tc>
          <w:tcPr>
            <w:tcW w:w="769" w:type="pct"/>
            <w:vAlign w:val="center"/>
          </w:tcPr>
          <w:p>
            <w:pPr>
              <w:overflowPunct w:val="0"/>
              <w:topLinePunct/>
              <w:adjustRightInd w:val="0"/>
              <w:snapToGrid w:val="0"/>
              <w:spacing w:line="360" w:lineRule="exact"/>
              <w:jc w:val="center"/>
              <w:rPr>
                <w:rFonts w:cs="仿宋_GB2312"/>
                <w:spacing w:val="0"/>
                <w:sz w:val="24"/>
              </w:rPr>
            </w:pPr>
            <w:r>
              <w:rPr>
                <w:rFonts w:hint="eastAsia" w:cs="仿宋_GB2312"/>
                <w:spacing w:val="0"/>
                <w:sz w:val="24"/>
                <w:szCs w:val="24"/>
              </w:rPr>
              <w:t>治理模式合理性</w:t>
            </w:r>
          </w:p>
        </w:tc>
        <w:tc>
          <w:tcPr>
            <w:tcW w:w="1639" w:type="pct"/>
            <w:vAlign w:val="center"/>
          </w:tcPr>
          <w:p>
            <w:pPr>
              <w:overflowPunct w:val="0"/>
              <w:topLinePunct/>
              <w:adjustRightInd w:val="0"/>
              <w:snapToGrid w:val="0"/>
              <w:spacing w:line="360" w:lineRule="exact"/>
              <w:rPr>
                <w:spacing w:val="0"/>
                <w:sz w:val="24"/>
              </w:rPr>
            </w:pPr>
            <w:r>
              <w:rPr>
                <w:rFonts w:hint="eastAsia"/>
                <w:spacing w:val="0"/>
                <w:sz w:val="24"/>
                <w:szCs w:val="24"/>
              </w:rPr>
              <w:t>是否因地制宜合理选择纳管、集中、分散等治理模式，是否资源化</w:t>
            </w:r>
            <w:r>
              <w:rPr>
                <w:rFonts w:hint="eastAsia" w:cs="仿宋_GB2312"/>
                <w:spacing w:val="0"/>
                <w:sz w:val="24"/>
                <w:szCs w:val="24"/>
              </w:rPr>
              <w:t>利用</w:t>
            </w:r>
            <w:r>
              <w:rPr>
                <w:rFonts w:hint="eastAsia"/>
                <w:spacing w:val="0"/>
                <w:sz w:val="24"/>
                <w:szCs w:val="24"/>
              </w:rPr>
              <w:t>优先。</w:t>
            </w:r>
          </w:p>
        </w:tc>
        <w:tc>
          <w:tcPr>
            <w:tcW w:w="255" w:type="pct"/>
            <w:vAlign w:val="center"/>
          </w:tcPr>
          <w:p>
            <w:pPr>
              <w:overflowPunct w:val="0"/>
              <w:topLinePunct/>
              <w:spacing w:line="36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村庄治理模式不合理的，发现1处扣0.2分，扣完为止。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spacing w:val="0"/>
                <w:sz w:val="24"/>
              </w:rPr>
              <w:t>3</w:t>
            </w:r>
          </w:p>
        </w:tc>
        <w:tc>
          <w:tcPr>
            <w:tcW w:w="543" w:type="pct"/>
            <w:vMerge w:val="continue"/>
            <w:vAlign w:val="center"/>
          </w:tcPr>
          <w:p>
            <w:pPr>
              <w:overflowPunct w:val="0"/>
              <w:topLinePunct/>
              <w:spacing w:line="360" w:lineRule="exact"/>
              <w:jc w:val="center"/>
              <w:rPr>
                <w:rFonts w:cs="仿宋_GB2312"/>
                <w:spacing w:val="0"/>
                <w:sz w:val="24"/>
              </w:rPr>
            </w:pPr>
          </w:p>
        </w:tc>
        <w:tc>
          <w:tcPr>
            <w:tcW w:w="769" w:type="pct"/>
            <w:vAlign w:val="center"/>
          </w:tcPr>
          <w:p>
            <w:pPr>
              <w:overflowPunct w:val="0"/>
              <w:topLinePunct/>
              <w:adjustRightInd w:val="0"/>
              <w:snapToGrid w:val="0"/>
              <w:spacing w:line="360" w:lineRule="exact"/>
              <w:jc w:val="center"/>
              <w:rPr>
                <w:rFonts w:cs="仿宋_GB2312"/>
                <w:spacing w:val="0"/>
                <w:sz w:val="24"/>
              </w:rPr>
            </w:pPr>
            <w:r>
              <w:rPr>
                <w:rFonts w:hint="eastAsia" w:cs="仿宋_GB2312"/>
                <w:spacing w:val="0"/>
                <w:sz w:val="24"/>
                <w:szCs w:val="24"/>
              </w:rPr>
              <w:t>工艺选择合理性</w:t>
            </w:r>
          </w:p>
        </w:tc>
        <w:tc>
          <w:tcPr>
            <w:tcW w:w="1639" w:type="pct"/>
            <w:vAlign w:val="center"/>
          </w:tcPr>
          <w:p>
            <w:pPr>
              <w:overflowPunct w:val="0"/>
              <w:topLinePunct/>
              <w:adjustRightInd w:val="0"/>
              <w:snapToGrid w:val="0"/>
              <w:spacing w:line="360" w:lineRule="exact"/>
              <w:rPr>
                <w:spacing w:val="0"/>
                <w:sz w:val="24"/>
              </w:rPr>
            </w:pPr>
            <w:r>
              <w:rPr>
                <w:rFonts w:hint="eastAsia"/>
                <w:spacing w:val="0"/>
                <w:sz w:val="24"/>
                <w:szCs w:val="24"/>
              </w:rPr>
              <w:t>治理技术是否遵循低成本、低能耗</w:t>
            </w:r>
            <w:r>
              <w:rPr>
                <w:spacing w:val="0"/>
                <w:sz w:val="24"/>
                <w:szCs w:val="24"/>
              </w:rPr>
              <w:t>、易维护、高效率</w:t>
            </w:r>
            <w:r>
              <w:rPr>
                <w:rFonts w:hint="eastAsia"/>
                <w:spacing w:val="0"/>
                <w:sz w:val="24"/>
                <w:szCs w:val="24"/>
              </w:rPr>
              <w:t>原则。</w:t>
            </w:r>
          </w:p>
        </w:tc>
        <w:tc>
          <w:tcPr>
            <w:tcW w:w="255" w:type="pct"/>
            <w:vAlign w:val="center"/>
          </w:tcPr>
          <w:p>
            <w:pPr>
              <w:overflowPunct w:val="0"/>
              <w:topLinePunct/>
              <w:spacing w:line="36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工艺选择不合理的，发现1处扣0.2分，扣完为止。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spacing w:val="0"/>
                <w:sz w:val="24"/>
              </w:rPr>
              <w:t>4</w:t>
            </w:r>
          </w:p>
        </w:tc>
        <w:tc>
          <w:tcPr>
            <w:tcW w:w="543" w:type="pct"/>
            <w:vMerge w:val="continue"/>
            <w:vAlign w:val="center"/>
          </w:tcPr>
          <w:p>
            <w:pPr>
              <w:overflowPunct w:val="0"/>
              <w:topLinePunct/>
              <w:spacing w:line="360" w:lineRule="exact"/>
              <w:jc w:val="center"/>
              <w:rPr>
                <w:rFonts w:cs="仿宋_GB2312"/>
                <w:spacing w:val="0"/>
                <w:sz w:val="24"/>
              </w:rPr>
            </w:pPr>
          </w:p>
        </w:tc>
        <w:tc>
          <w:tcPr>
            <w:tcW w:w="769" w:type="pct"/>
            <w:vAlign w:val="center"/>
          </w:tcPr>
          <w:p>
            <w:pPr>
              <w:overflowPunct w:val="0"/>
              <w:topLinePunct/>
              <w:adjustRightInd w:val="0"/>
              <w:snapToGrid w:val="0"/>
              <w:spacing w:line="360" w:lineRule="exact"/>
              <w:jc w:val="center"/>
              <w:rPr>
                <w:rFonts w:cs="仿宋_GB2312"/>
                <w:spacing w:val="0"/>
                <w:sz w:val="24"/>
              </w:rPr>
            </w:pPr>
            <w:r>
              <w:rPr>
                <w:rFonts w:hint="eastAsia" w:cs="仿宋_GB2312"/>
                <w:spacing w:val="0"/>
                <w:sz w:val="24"/>
                <w:szCs w:val="24"/>
              </w:rPr>
              <w:t>工程设计合理性</w:t>
            </w:r>
          </w:p>
        </w:tc>
        <w:tc>
          <w:tcPr>
            <w:tcW w:w="1639" w:type="pct"/>
            <w:vAlign w:val="center"/>
          </w:tcPr>
          <w:p>
            <w:pPr>
              <w:overflowPunct w:val="0"/>
              <w:topLinePunct/>
              <w:adjustRightInd w:val="0"/>
              <w:snapToGrid w:val="0"/>
              <w:spacing w:line="360" w:lineRule="exact"/>
              <w:rPr>
                <w:spacing w:val="0"/>
                <w:sz w:val="24"/>
                <w:szCs w:val="24"/>
              </w:rPr>
            </w:pPr>
            <w:r>
              <w:rPr>
                <w:spacing w:val="0"/>
                <w:sz w:val="24"/>
                <w:szCs w:val="24"/>
              </w:rPr>
              <w:t>设计进水水质水量是否符合当地实际。</w:t>
            </w:r>
          </w:p>
        </w:tc>
        <w:tc>
          <w:tcPr>
            <w:tcW w:w="255" w:type="pct"/>
            <w:vAlign w:val="center"/>
          </w:tcPr>
          <w:p>
            <w:pPr>
              <w:overflowPunct w:val="0"/>
              <w:topLinePunct/>
              <w:spacing w:line="360" w:lineRule="exact"/>
              <w:jc w:val="center"/>
              <w:rPr>
                <w:rFonts w:cs="仿宋_GB2312"/>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工程设计明显不合理的，发现1处扣0.1分，扣完为止。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spacing w:val="0"/>
                <w:sz w:val="24"/>
              </w:rPr>
              <w:t>5</w:t>
            </w:r>
          </w:p>
        </w:tc>
        <w:tc>
          <w:tcPr>
            <w:tcW w:w="543" w:type="pct"/>
            <w:vMerge w:val="continue"/>
            <w:vAlign w:val="center"/>
          </w:tcPr>
          <w:p>
            <w:pPr>
              <w:overflowPunct w:val="0"/>
              <w:topLinePunct/>
              <w:spacing w:line="360" w:lineRule="exact"/>
              <w:jc w:val="center"/>
              <w:rPr>
                <w:rFonts w:cs="仿宋_GB2312"/>
                <w:spacing w:val="0"/>
                <w:sz w:val="24"/>
              </w:rPr>
            </w:pPr>
          </w:p>
        </w:tc>
        <w:tc>
          <w:tcPr>
            <w:tcW w:w="769" w:type="pct"/>
            <w:vAlign w:val="center"/>
          </w:tcPr>
          <w:p>
            <w:pPr>
              <w:overflowPunct w:val="0"/>
              <w:topLinePunct/>
              <w:adjustRightInd w:val="0"/>
              <w:snapToGrid w:val="0"/>
              <w:spacing w:line="360" w:lineRule="exact"/>
              <w:jc w:val="center"/>
              <w:rPr>
                <w:rFonts w:cs="仿宋_GB2312"/>
                <w:spacing w:val="0"/>
                <w:sz w:val="24"/>
              </w:rPr>
            </w:pPr>
            <w:r>
              <w:rPr>
                <w:rFonts w:hint="eastAsia" w:cs="仿宋_GB2312"/>
                <w:spacing w:val="0"/>
                <w:sz w:val="24"/>
                <w:szCs w:val="24"/>
              </w:rPr>
              <w:t>工程投资成本</w:t>
            </w:r>
          </w:p>
        </w:tc>
        <w:tc>
          <w:tcPr>
            <w:tcW w:w="1639" w:type="pct"/>
            <w:vAlign w:val="center"/>
          </w:tcPr>
          <w:p>
            <w:pPr>
              <w:overflowPunct w:val="0"/>
              <w:topLinePunct/>
              <w:adjustRightInd w:val="0"/>
              <w:snapToGrid w:val="0"/>
              <w:spacing w:line="360" w:lineRule="exact"/>
              <w:rPr>
                <w:spacing w:val="0"/>
                <w:sz w:val="24"/>
                <w:szCs w:val="24"/>
              </w:rPr>
            </w:pPr>
            <w:r>
              <w:rPr>
                <w:spacing w:val="0"/>
                <w:sz w:val="24"/>
                <w:szCs w:val="24"/>
              </w:rPr>
              <w:t>项目实际工程投资是否合理。</w:t>
            </w:r>
          </w:p>
        </w:tc>
        <w:tc>
          <w:tcPr>
            <w:tcW w:w="255" w:type="pct"/>
            <w:vAlign w:val="center"/>
          </w:tcPr>
          <w:p>
            <w:pPr>
              <w:overflowPunct w:val="0"/>
              <w:topLinePunct/>
              <w:spacing w:line="360" w:lineRule="exact"/>
              <w:jc w:val="center"/>
              <w:rPr>
                <w:rFonts w:cs="仿宋_GB2312"/>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工程投资明显不合理的，发现1处扣0.1分，扣完为止。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spacing w:val="0"/>
                <w:sz w:val="24"/>
              </w:rPr>
              <w:t>6</w:t>
            </w:r>
          </w:p>
        </w:tc>
        <w:tc>
          <w:tcPr>
            <w:tcW w:w="543" w:type="pct"/>
            <w:vMerge w:val="continue"/>
            <w:vAlign w:val="center"/>
          </w:tcPr>
          <w:p>
            <w:pPr>
              <w:overflowPunct w:val="0"/>
              <w:topLinePunct/>
              <w:spacing w:line="360" w:lineRule="exact"/>
              <w:jc w:val="center"/>
              <w:rPr>
                <w:rFonts w:cs="仿宋_GB2312"/>
                <w:spacing w:val="0"/>
                <w:sz w:val="24"/>
              </w:rPr>
            </w:pPr>
          </w:p>
        </w:tc>
        <w:tc>
          <w:tcPr>
            <w:tcW w:w="769" w:type="pct"/>
            <w:vAlign w:val="center"/>
          </w:tcPr>
          <w:p>
            <w:pPr>
              <w:overflowPunct w:val="0"/>
              <w:topLinePunct/>
              <w:adjustRightInd w:val="0"/>
              <w:snapToGrid w:val="0"/>
              <w:spacing w:line="360" w:lineRule="exact"/>
              <w:jc w:val="center"/>
              <w:rPr>
                <w:rFonts w:cs="仿宋_GB2312"/>
                <w:spacing w:val="0"/>
                <w:sz w:val="24"/>
              </w:rPr>
            </w:pPr>
            <w:r>
              <w:rPr>
                <w:rFonts w:hint="eastAsia" w:cs="仿宋_GB2312"/>
                <w:spacing w:val="0"/>
                <w:sz w:val="24"/>
                <w:szCs w:val="24"/>
              </w:rPr>
              <w:t>运维管理成本</w:t>
            </w:r>
          </w:p>
        </w:tc>
        <w:tc>
          <w:tcPr>
            <w:tcW w:w="1639" w:type="pct"/>
            <w:vAlign w:val="center"/>
          </w:tcPr>
          <w:p>
            <w:pPr>
              <w:overflowPunct w:val="0"/>
              <w:topLinePunct/>
              <w:adjustRightInd w:val="0"/>
              <w:snapToGrid w:val="0"/>
              <w:spacing w:line="360" w:lineRule="exact"/>
              <w:rPr>
                <w:spacing w:val="0"/>
                <w:sz w:val="24"/>
                <w:szCs w:val="24"/>
              </w:rPr>
            </w:pPr>
            <w:r>
              <w:rPr>
                <w:spacing w:val="0"/>
                <w:sz w:val="24"/>
                <w:szCs w:val="24"/>
              </w:rPr>
              <w:t>设施运维成本是否过高。</w:t>
            </w:r>
          </w:p>
        </w:tc>
        <w:tc>
          <w:tcPr>
            <w:tcW w:w="255" w:type="pct"/>
            <w:vAlign w:val="center"/>
          </w:tcPr>
          <w:p>
            <w:pPr>
              <w:overflowPunct w:val="0"/>
              <w:topLinePunct/>
              <w:spacing w:line="360" w:lineRule="exact"/>
              <w:jc w:val="center"/>
              <w:rPr>
                <w:rFonts w:cs="仿宋_GB2312"/>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运维费用明显偏高的，发现1处扣0.1分，扣完为止。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spacing w:val="0"/>
                <w:sz w:val="24"/>
              </w:rPr>
              <w:t>7</w:t>
            </w:r>
          </w:p>
        </w:tc>
        <w:tc>
          <w:tcPr>
            <w:tcW w:w="543" w:type="pct"/>
            <w:vMerge w:val="restart"/>
            <w:vAlign w:val="center"/>
          </w:tcPr>
          <w:p>
            <w:pPr>
              <w:overflowPunct w:val="0"/>
              <w:topLinePunct/>
              <w:spacing w:line="360" w:lineRule="exact"/>
              <w:jc w:val="center"/>
              <w:rPr>
                <w:rFonts w:cs="仿宋_GB2312"/>
                <w:spacing w:val="0"/>
                <w:sz w:val="24"/>
                <w:szCs w:val="24"/>
              </w:rPr>
            </w:pPr>
            <w:r>
              <w:rPr>
                <w:rFonts w:hint="eastAsia" w:cs="仿宋_GB2312"/>
                <w:spacing w:val="0"/>
                <w:sz w:val="24"/>
                <w:szCs w:val="24"/>
              </w:rPr>
              <w:t>运维管理</w:t>
            </w:r>
          </w:p>
        </w:tc>
        <w:tc>
          <w:tcPr>
            <w:tcW w:w="769" w:type="pct"/>
            <w:vAlign w:val="center"/>
          </w:tcPr>
          <w:p>
            <w:pPr>
              <w:overflowPunct w:val="0"/>
              <w:topLinePunct/>
              <w:adjustRightInd w:val="0"/>
              <w:snapToGrid w:val="0"/>
              <w:spacing w:line="360" w:lineRule="exact"/>
              <w:jc w:val="center"/>
              <w:rPr>
                <w:rFonts w:cs="仿宋_GB2312"/>
                <w:spacing w:val="0"/>
                <w:sz w:val="24"/>
              </w:rPr>
            </w:pPr>
            <w:r>
              <w:rPr>
                <w:rFonts w:hint="eastAsia" w:cs="仿宋_GB2312"/>
                <w:spacing w:val="0"/>
                <w:sz w:val="24"/>
                <w:szCs w:val="24"/>
              </w:rPr>
              <w:t>专业化运维</w:t>
            </w:r>
          </w:p>
        </w:tc>
        <w:tc>
          <w:tcPr>
            <w:tcW w:w="1639" w:type="pct"/>
            <w:vAlign w:val="center"/>
          </w:tcPr>
          <w:p>
            <w:pPr>
              <w:overflowPunct w:val="0"/>
              <w:topLinePunct/>
              <w:adjustRightInd w:val="0"/>
              <w:snapToGrid w:val="0"/>
              <w:spacing w:line="360" w:lineRule="exact"/>
              <w:rPr>
                <w:spacing w:val="0"/>
                <w:sz w:val="24"/>
                <w:szCs w:val="24"/>
              </w:rPr>
            </w:pPr>
            <w:r>
              <w:rPr>
                <w:spacing w:val="0"/>
                <w:sz w:val="24"/>
                <w:szCs w:val="24"/>
              </w:rPr>
              <w:t>20吨/日（含）以上的设施是否委托专业化公司运维。</w:t>
            </w:r>
          </w:p>
        </w:tc>
        <w:tc>
          <w:tcPr>
            <w:tcW w:w="255" w:type="pct"/>
            <w:vAlign w:val="center"/>
          </w:tcPr>
          <w:p>
            <w:pPr>
              <w:overflowPunct w:val="0"/>
              <w:topLinePunct/>
              <w:spacing w:line="360" w:lineRule="exact"/>
              <w:jc w:val="center"/>
              <w:rPr>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20吨/日（含）以上设施中委托专业化公司运维的，按比例得分。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8</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水质监测</w:t>
            </w:r>
          </w:p>
        </w:tc>
        <w:tc>
          <w:tcPr>
            <w:tcW w:w="1639" w:type="pct"/>
            <w:vAlign w:val="center"/>
          </w:tcPr>
          <w:p>
            <w:pPr>
              <w:overflowPunct w:val="0"/>
              <w:topLinePunct/>
              <w:adjustRightInd w:val="0"/>
              <w:snapToGrid w:val="0"/>
              <w:spacing w:line="340" w:lineRule="exact"/>
              <w:rPr>
                <w:spacing w:val="0"/>
                <w:sz w:val="24"/>
                <w:szCs w:val="24"/>
              </w:rPr>
            </w:pPr>
            <w:r>
              <w:rPr>
                <w:spacing w:val="0"/>
                <w:sz w:val="24"/>
                <w:szCs w:val="24"/>
              </w:rPr>
              <w:t>是否按相关要求对出水水质进行监测。</w:t>
            </w:r>
          </w:p>
        </w:tc>
        <w:tc>
          <w:tcPr>
            <w:tcW w:w="255" w:type="pct"/>
            <w:vAlign w:val="center"/>
          </w:tcPr>
          <w:p>
            <w:pPr>
              <w:overflowPunct w:val="0"/>
              <w:topLinePunct/>
              <w:spacing w:line="340" w:lineRule="exact"/>
              <w:jc w:val="center"/>
              <w:rPr>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未按要求开展监测的，发现1处扣0.2分，扣完为止。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9</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水质达标</w:t>
            </w:r>
          </w:p>
        </w:tc>
        <w:tc>
          <w:tcPr>
            <w:tcW w:w="1639" w:type="pct"/>
            <w:vAlign w:val="center"/>
          </w:tcPr>
          <w:p>
            <w:pPr>
              <w:overflowPunct w:val="0"/>
              <w:topLinePunct/>
              <w:adjustRightInd w:val="0"/>
              <w:snapToGrid w:val="0"/>
              <w:spacing w:line="340" w:lineRule="exact"/>
              <w:rPr>
                <w:spacing w:val="0"/>
                <w:sz w:val="24"/>
                <w:szCs w:val="24"/>
              </w:rPr>
            </w:pPr>
            <w:r>
              <w:rPr>
                <w:spacing w:val="0"/>
                <w:sz w:val="24"/>
                <w:szCs w:val="24"/>
              </w:rPr>
              <w:t>需开展水质监测的设施出水是否达标。</w:t>
            </w:r>
          </w:p>
        </w:tc>
        <w:tc>
          <w:tcPr>
            <w:tcW w:w="255" w:type="pct"/>
            <w:vAlign w:val="center"/>
          </w:tcPr>
          <w:p>
            <w:pPr>
              <w:overflowPunct w:val="0"/>
              <w:topLinePunct/>
              <w:spacing w:line="340" w:lineRule="exact"/>
              <w:jc w:val="center"/>
              <w:rPr>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出水水质未达标的，发现1处扣0.2分，扣完为止。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10</w:t>
            </w:r>
          </w:p>
        </w:tc>
        <w:tc>
          <w:tcPr>
            <w:tcW w:w="543" w:type="pct"/>
            <w:vMerge w:val="restart"/>
            <w:vAlign w:val="center"/>
          </w:tcPr>
          <w:p>
            <w:pPr>
              <w:overflowPunct w:val="0"/>
              <w:topLinePunct/>
              <w:spacing w:line="340" w:lineRule="exact"/>
              <w:jc w:val="center"/>
              <w:rPr>
                <w:rFonts w:cs="仿宋_GB2312"/>
                <w:spacing w:val="0"/>
                <w:sz w:val="24"/>
                <w:szCs w:val="24"/>
              </w:rPr>
            </w:pPr>
            <w:r>
              <w:rPr>
                <w:rFonts w:hint="eastAsia" w:cs="仿宋_GB2312"/>
                <w:spacing w:val="0"/>
                <w:sz w:val="24"/>
                <w:szCs w:val="24"/>
              </w:rPr>
              <w:t>长效机制</w:t>
            </w: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运维办法</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是否制定县级设施运行维护管理办法。</w:t>
            </w:r>
          </w:p>
        </w:tc>
        <w:tc>
          <w:tcPr>
            <w:tcW w:w="255" w:type="pct"/>
            <w:vAlign w:val="center"/>
          </w:tcPr>
          <w:p>
            <w:pPr>
              <w:overflowPunct w:val="0"/>
              <w:topLinePunct/>
              <w:spacing w:line="340" w:lineRule="exact"/>
              <w:jc w:val="center"/>
              <w:rPr>
                <w:rFonts w:cs="仿宋_GB2312"/>
                <w:spacing w:val="0"/>
                <w:sz w:val="24"/>
              </w:rPr>
            </w:pPr>
            <w:r>
              <w:rPr>
                <w:spacing w:val="0"/>
                <w:sz w:val="24"/>
                <w:szCs w:val="24"/>
              </w:rPr>
              <w:t>2</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已印发实施的得2分，未印发不得分。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11</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运维主体</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是否已建立运维管理体系或已明确运维主体。</w:t>
            </w:r>
          </w:p>
        </w:tc>
        <w:tc>
          <w:tcPr>
            <w:tcW w:w="255" w:type="pct"/>
            <w:vAlign w:val="center"/>
          </w:tcPr>
          <w:p>
            <w:pPr>
              <w:overflowPunct w:val="0"/>
              <w:topLinePunct/>
              <w:spacing w:line="340" w:lineRule="exact"/>
              <w:jc w:val="center"/>
              <w:rPr>
                <w:color w:val="0000FF"/>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已建立且明确的得3分，未建立或未明确的不得分。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12</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运维经费</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是否按要求落实运维管理经费或将运维经费纳入财政预算。</w:t>
            </w:r>
          </w:p>
        </w:tc>
        <w:tc>
          <w:tcPr>
            <w:tcW w:w="255" w:type="pct"/>
            <w:vAlign w:val="center"/>
          </w:tcPr>
          <w:p>
            <w:pPr>
              <w:overflowPunct w:val="0"/>
              <w:topLinePunct/>
              <w:spacing w:line="340" w:lineRule="exact"/>
              <w:jc w:val="center"/>
              <w:rPr>
                <w:spacing w:val="0"/>
                <w:sz w:val="24"/>
                <w:highlight w:val="yellow"/>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spacing w:val="0"/>
                <w:sz w:val="24"/>
                <w:szCs w:val="24"/>
              </w:rPr>
              <w:t>已落实的得3分，未落实的不得分。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13</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考核评估</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是否建立考核评估机制，对农村生活污水处理设施运维单位开展考核评估。</w:t>
            </w:r>
          </w:p>
        </w:tc>
        <w:tc>
          <w:tcPr>
            <w:tcW w:w="255" w:type="pct"/>
            <w:vAlign w:val="center"/>
          </w:tcPr>
          <w:p>
            <w:pPr>
              <w:overflowPunct w:val="0"/>
              <w:topLinePunct/>
              <w:spacing w:line="340" w:lineRule="exact"/>
              <w:jc w:val="center"/>
              <w:rPr>
                <w:spacing w:val="0"/>
                <w:sz w:val="24"/>
                <w:highlight w:val="yellow"/>
              </w:rPr>
            </w:pPr>
            <w:r>
              <w:rPr>
                <w:rFonts w:hint="eastAsia"/>
                <w:spacing w:val="0"/>
                <w:sz w:val="24"/>
                <w:szCs w:val="24"/>
              </w:rPr>
              <w:t>2</w:t>
            </w:r>
          </w:p>
        </w:tc>
        <w:tc>
          <w:tcPr>
            <w:tcW w:w="1548" w:type="pct"/>
            <w:vAlign w:val="center"/>
          </w:tcPr>
          <w:p>
            <w:pPr>
              <w:overflowPunct w:val="0"/>
              <w:topLinePunct/>
              <w:adjustRightInd w:val="0"/>
              <w:snapToGrid w:val="0"/>
              <w:spacing w:line="340" w:lineRule="exact"/>
              <w:rPr>
                <w:spacing w:val="0"/>
                <w:sz w:val="24"/>
                <w:szCs w:val="24"/>
              </w:rPr>
            </w:pPr>
            <w:r>
              <w:rPr>
                <w:spacing w:val="0"/>
                <w:sz w:val="24"/>
                <w:szCs w:val="24"/>
              </w:rPr>
              <w:t>已建立且开展考核的得2分，未建立的或建立机制但</w:t>
            </w:r>
            <w:r>
              <w:rPr>
                <w:rFonts w:hint="eastAsia"/>
                <w:spacing w:val="0"/>
                <w:sz w:val="24"/>
                <w:szCs w:val="24"/>
              </w:rPr>
              <w:t>未开展考核</w:t>
            </w:r>
            <w:r>
              <w:rPr>
                <w:spacing w:val="0"/>
                <w:sz w:val="24"/>
                <w:szCs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spacing w:val="0"/>
                <w:sz w:val="24"/>
              </w:rPr>
              <w:t>14</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adjustRightInd w:val="0"/>
              <w:snapToGrid w:val="0"/>
              <w:spacing w:line="340" w:lineRule="exact"/>
              <w:jc w:val="center"/>
              <w:rPr>
                <w:rFonts w:cs="仿宋_GB2312"/>
                <w:spacing w:val="0"/>
                <w:sz w:val="24"/>
              </w:rPr>
            </w:pPr>
            <w:r>
              <w:rPr>
                <w:rFonts w:hint="eastAsia" w:cs="仿宋_GB2312"/>
                <w:spacing w:val="0"/>
                <w:sz w:val="24"/>
                <w:szCs w:val="24"/>
              </w:rPr>
              <w:t>日常巡查</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县级相关部门是否按要求定期开展巡查。</w:t>
            </w:r>
          </w:p>
        </w:tc>
        <w:tc>
          <w:tcPr>
            <w:tcW w:w="255" w:type="pct"/>
            <w:vAlign w:val="center"/>
          </w:tcPr>
          <w:p>
            <w:pPr>
              <w:overflowPunct w:val="0"/>
              <w:topLinePunct/>
              <w:spacing w:line="340" w:lineRule="exact"/>
              <w:jc w:val="center"/>
              <w:rPr>
                <w:rFonts w:cs="仿宋_GB2312"/>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spacing w:val="0"/>
                <w:sz w:val="24"/>
                <w:szCs w:val="24"/>
              </w:rPr>
              <w:t>根据7.4章节巡查频次要求，按比例得分。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000" w:type="pct"/>
            <w:gridSpan w:val="6"/>
            <w:vAlign w:val="center"/>
          </w:tcPr>
          <w:p>
            <w:pPr>
              <w:overflowPunct w:val="0"/>
              <w:topLinePunct/>
              <w:spacing w:line="340" w:lineRule="exact"/>
              <w:rPr>
                <w:rFonts w:eastAsia="黑体" w:cs="黑体"/>
                <w:spacing w:val="0"/>
                <w:sz w:val="24"/>
              </w:rPr>
            </w:pPr>
            <w:r>
              <w:rPr>
                <w:rFonts w:hint="eastAsia" w:eastAsia="楷体_GB2312" w:cs="黑体"/>
                <w:b/>
                <w:spacing w:val="0"/>
                <w:sz w:val="24"/>
                <w:szCs w:val="24"/>
              </w:rPr>
              <w:t>二、现场考核评估（</w:t>
            </w:r>
            <w:r>
              <w:rPr>
                <w:rFonts w:eastAsia="楷体_GB2312" w:cs="黑体"/>
                <w:b/>
                <w:spacing w:val="0"/>
                <w:sz w:val="24"/>
                <w:szCs w:val="24"/>
              </w:rPr>
              <w:t>60</w:t>
            </w:r>
            <w:r>
              <w:rPr>
                <w:rFonts w:hint="eastAsia" w:eastAsia="楷体_GB2312" w:cs="黑体"/>
                <w: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rFonts w:hint="eastAsia"/>
                <w:spacing w:val="0"/>
                <w:sz w:val="24"/>
              </w:rPr>
              <w:t>15</w:t>
            </w:r>
          </w:p>
        </w:tc>
        <w:tc>
          <w:tcPr>
            <w:tcW w:w="543" w:type="pct"/>
            <w:vMerge w:val="restart"/>
            <w:vAlign w:val="center"/>
          </w:tcPr>
          <w:p>
            <w:pPr>
              <w:overflowPunct w:val="0"/>
              <w:topLinePunct/>
              <w:spacing w:line="340" w:lineRule="exact"/>
              <w:jc w:val="center"/>
              <w:rPr>
                <w:rFonts w:cs="仿宋_GB2312"/>
                <w:spacing w:val="0"/>
                <w:sz w:val="24"/>
                <w:szCs w:val="24"/>
              </w:rPr>
            </w:pPr>
            <w:r>
              <w:rPr>
                <w:rFonts w:hint="eastAsia" w:cs="仿宋_GB2312"/>
                <w:spacing w:val="0"/>
                <w:sz w:val="24"/>
                <w:szCs w:val="24"/>
              </w:rPr>
              <w:t>工程建设</w:t>
            </w:r>
          </w:p>
        </w:tc>
        <w:tc>
          <w:tcPr>
            <w:tcW w:w="769" w:type="pct"/>
            <w:vAlign w:val="center"/>
          </w:tcPr>
          <w:p>
            <w:pPr>
              <w:overflowPunct w:val="0"/>
              <w:topLinePunct/>
              <w:spacing w:line="340" w:lineRule="exact"/>
              <w:jc w:val="center"/>
              <w:rPr>
                <w:rFonts w:cs="仿宋_GB2312"/>
                <w:spacing w:val="0"/>
                <w:sz w:val="24"/>
              </w:rPr>
            </w:pPr>
            <w:r>
              <w:rPr>
                <w:rFonts w:hint="eastAsia" w:cs="仿宋_GB2312"/>
                <w:spacing w:val="0"/>
                <w:sz w:val="24"/>
                <w:szCs w:val="24"/>
              </w:rPr>
              <w:t>设施选址</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设施选址是否合理。</w:t>
            </w:r>
          </w:p>
        </w:tc>
        <w:tc>
          <w:tcPr>
            <w:tcW w:w="255" w:type="pct"/>
            <w:vAlign w:val="center"/>
          </w:tcPr>
          <w:p>
            <w:pPr>
              <w:overflowPunct w:val="0"/>
              <w:topLinePunct/>
              <w:spacing w:line="340" w:lineRule="exact"/>
              <w:jc w:val="center"/>
              <w:rPr>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选址不合理的，发现1处扣0.1分，扣完为止。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rFonts w:hint="eastAsia"/>
                <w:spacing w:val="0"/>
                <w:sz w:val="24"/>
              </w:rPr>
              <w:t>16</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spacing w:line="340" w:lineRule="exact"/>
              <w:jc w:val="center"/>
              <w:rPr>
                <w:rFonts w:cs="仿宋_GB2312"/>
                <w:spacing w:val="0"/>
                <w:sz w:val="24"/>
              </w:rPr>
            </w:pPr>
            <w:r>
              <w:rPr>
                <w:rFonts w:hint="eastAsia" w:cs="仿宋_GB2312"/>
                <w:spacing w:val="0"/>
                <w:sz w:val="24"/>
                <w:szCs w:val="24"/>
              </w:rPr>
              <w:t>污水收集</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设施服务范围内是否对农户的黑水、灰水均进行有效收集。</w:t>
            </w:r>
          </w:p>
        </w:tc>
        <w:tc>
          <w:tcPr>
            <w:tcW w:w="255" w:type="pct"/>
            <w:vAlign w:val="center"/>
          </w:tcPr>
          <w:p>
            <w:pPr>
              <w:overflowPunct w:val="0"/>
              <w:topLinePunct/>
              <w:spacing w:line="340" w:lineRule="exact"/>
              <w:jc w:val="center"/>
              <w:rPr>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未全部有效收集的，发现1处扣0.1分，扣完为止。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rFonts w:hint="eastAsia"/>
                <w:spacing w:val="0"/>
                <w:sz w:val="24"/>
              </w:rPr>
              <w:t>17</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spacing w:line="340" w:lineRule="exact"/>
              <w:jc w:val="center"/>
              <w:rPr>
                <w:rFonts w:cs="仿宋_GB2312"/>
                <w:spacing w:val="0"/>
                <w:sz w:val="24"/>
              </w:rPr>
            </w:pPr>
            <w:r>
              <w:rPr>
                <w:rFonts w:hint="eastAsia" w:cs="仿宋_GB2312"/>
                <w:spacing w:val="0"/>
                <w:sz w:val="24"/>
                <w:szCs w:val="24"/>
              </w:rPr>
              <w:t>管网覆盖率</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是否存在管网不足导致进水量偏小或无进水等情形。</w:t>
            </w:r>
          </w:p>
        </w:tc>
        <w:tc>
          <w:tcPr>
            <w:tcW w:w="255" w:type="pct"/>
            <w:vAlign w:val="center"/>
          </w:tcPr>
          <w:p>
            <w:pPr>
              <w:overflowPunct w:val="0"/>
              <w:topLinePunct/>
              <w:spacing w:line="340" w:lineRule="exact"/>
              <w:jc w:val="center"/>
              <w:rPr>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存在设施无进水的，发现1处扣0.2分；存在进水量偏小的，发现1处扣0.1分；扣完为止。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40" w:lineRule="exact"/>
              <w:jc w:val="center"/>
              <w:rPr>
                <w:spacing w:val="0"/>
                <w:sz w:val="24"/>
              </w:rPr>
            </w:pPr>
            <w:r>
              <w:rPr>
                <w:rFonts w:hint="eastAsia"/>
                <w:spacing w:val="0"/>
                <w:sz w:val="24"/>
              </w:rPr>
              <w:t>18</w:t>
            </w:r>
          </w:p>
        </w:tc>
        <w:tc>
          <w:tcPr>
            <w:tcW w:w="543" w:type="pct"/>
            <w:vMerge w:val="continue"/>
            <w:vAlign w:val="center"/>
          </w:tcPr>
          <w:p>
            <w:pPr>
              <w:overflowPunct w:val="0"/>
              <w:topLinePunct/>
              <w:spacing w:line="340" w:lineRule="exact"/>
              <w:jc w:val="center"/>
              <w:rPr>
                <w:rFonts w:cs="仿宋_GB2312"/>
                <w:spacing w:val="0"/>
                <w:sz w:val="24"/>
              </w:rPr>
            </w:pPr>
          </w:p>
        </w:tc>
        <w:tc>
          <w:tcPr>
            <w:tcW w:w="769" w:type="pct"/>
            <w:vAlign w:val="center"/>
          </w:tcPr>
          <w:p>
            <w:pPr>
              <w:overflowPunct w:val="0"/>
              <w:topLinePunct/>
              <w:spacing w:line="340" w:lineRule="exact"/>
              <w:jc w:val="center"/>
              <w:rPr>
                <w:rFonts w:cs="仿宋_GB2312"/>
                <w:spacing w:val="0"/>
                <w:sz w:val="24"/>
              </w:rPr>
            </w:pPr>
            <w:r>
              <w:rPr>
                <w:rFonts w:hint="eastAsia" w:cs="仿宋_GB2312"/>
                <w:spacing w:val="0"/>
                <w:sz w:val="24"/>
                <w:szCs w:val="24"/>
              </w:rPr>
              <w:t>管网建设质量</w:t>
            </w:r>
          </w:p>
        </w:tc>
        <w:tc>
          <w:tcPr>
            <w:tcW w:w="1639"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是否存在管网堵塞、破损、沉降、错接等问题。</w:t>
            </w:r>
          </w:p>
        </w:tc>
        <w:tc>
          <w:tcPr>
            <w:tcW w:w="255" w:type="pct"/>
            <w:vAlign w:val="center"/>
          </w:tcPr>
          <w:p>
            <w:pPr>
              <w:overflowPunct w:val="0"/>
              <w:topLinePunct/>
              <w:spacing w:line="340" w:lineRule="exact"/>
              <w:jc w:val="center"/>
              <w:rPr>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40" w:lineRule="exact"/>
              <w:rPr>
                <w:spacing w:val="0"/>
                <w:sz w:val="24"/>
                <w:szCs w:val="24"/>
              </w:rPr>
            </w:pPr>
            <w:r>
              <w:rPr>
                <w:rFonts w:hint="eastAsia"/>
                <w:spacing w:val="0"/>
                <w:sz w:val="24"/>
                <w:szCs w:val="24"/>
              </w:rPr>
              <w:t>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19</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设施建设质量</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是否存在设施破损、沉降，以及设备故障等情形。</w:t>
            </w:r>
          </w:p>
        </w:tc>
        <w:tc>
          <w:tcPr>
            <w:tcW w:w="255" w:type="pct"/>
            <w:vAlign w:val="center"/>
          </w:tcPr>
          <w:p>
            <w:pPr>
              <w:overflowPunct w:val="0"/>
              <w:topLinePunct/>
              <w:spacing w:line="330" w:lineRule="exact"/>
              <w:jc w:val="center"/>
              <w:rPr>
                <w:spacing w:val="0"/>
                <w:sz w:val="24"/>
              </w:rPr>
            </w:pPr>
            <w:r>
              <w:rPr>
                <w:rFonts w:hint="eastAsia"/>
                <w:spacing w:val="0"/>
                <w:sz w:val="24"/>
                <w:szCs w:val="24"/>
              </w:rPr>
              <w:t>3</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20</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设施处理能力</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设施进水是否正常，是否存在污水溢流直排等情形。</w:t>
            </w:r>
          </w:p>
        </w:tc>
        <w:tc>
          <w:tcPr>
            <w:tcW w:w="255" w:type="pct"/>
            <w:vAlign w:val="center"/>
          </w:tcPr>
          <w:p>
            <w:pPr>
              <w:overflowPunct w:val="0"/>
              <w:topLinePunct/>
              <w:spacing w:line="33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21</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资源化利用</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资源化利用是否规范，如资源化利用设施是否完善、利用途径是否明确。</w:t>
            </w:r>
          </w:p>
        </w:tc>
        <w:tc>
          <w:tcPr>
            <w:tcW w:w="255" w:type="pct"/>
            <w:vAlign w:val="center"/>
          </w:tcPr>
          <w:p>
            <w:pPr>
              <w:overflowPunct w:val="0"/>
              <w:topLinePunct/>
              <w:spacing w:line="33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存在不规范的，发现1处扣0.2分，扣完为止。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22</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adjustRightInd w:val="0"/>
              <w:snapToGrid w:val="0"/>
              <w:spacing w:line="330" w:lineRule="exact"/>
              <w:jc w:val="center"/>
              <w:rPr>
                <w:rFonts w:cs="仿宋_GB2312"/>
                <w:spacing w:val="0"/>
                <w:sz w:val="24"/>
              </w:rPr>
            </w:pPr>
            <w:r>
              <w:rPr>
                <w:rFonts w:hint="eastAsia" w:cs="仿宋_GB2312"/>
                <w:spacing w:val="0"/>
                <w:sz w:val="24"/>
                <w:szCs w:val="24"/>
              </w:rPr>
              <w:t>标识</w:t>
            </w:r>
            <w:r>
              <w:rPr>
                <w:rFonts w:hint="eastAsia"/>
                <w:spacing w:val="0"/>
                <w:sz w:val="24"/>
                <w:szCs w:val="24"/>
              </w:rPr>
              <w:t>标牌</w:t>
            </w:r>
            <w:r>
              <w:rPr>
                <w:rFonts w:hint="eastAsia" w:cs="仿宋_GB2312"/>
                <w:spacing w:val="0"/>
                <w:sz w:val="24"/>
                <w:szCs w:val="24"/>
              </w:rPr>
              <w:t>规范性</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是否存在设置不规范、破损、信息错误等情形。</w:t>
            </w:r>
          </w:p>
        </w:tc>
        <w:tc>
          <w:tcPr>
            <w:tcW w:w="255" w:type="pct"/>
            <w:vAlign w:val="center"/>
          </w:tcPr>
          <w:p>
            <w:pPr>
              <w:overflowPunct w:val="0"/>
              <w:topLinePunct/>
              <w:spacing w:line="330" w:lineRule="exact"/>
              <w:jc w:val="center"/>
              <w:rPr>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23</w:t>
            </w:r>
          </w:p>
        </w:tc>
        <w:tc>
          <w:tcPr>
            <w:tcW w:w="543" w:type="pct"/>
            <w:vMerge w:val="restart"/>
            <w:vAlign w:val="center"/>
          </w:tcPr>
          <w:p>
            <w:pPr>
              <w:overflowPunct w:val="0"/>
              <w:topLinePunct/>
              <w:spacing w:line="330" w:lineRule="exact"/>
              <w:jc w:val="center"/>
              <w:rPr>
                <w:rFonts w:cs="仿宋_GB2312"/>
                <w:spacing w:val="0"/>
                <w:sz w:val="24"/>
                <w:szCs w:val="24"/>
              </w:rPr>
            </w:pPr>
            <w:r>
              <w:rPr>
                <w:rFonts w:hint="eastAsia" w:cs="仿宋_GB2312"/>
                <w:spacing w:val="0"/>
                <w:sz w:val="24"/>
                <w:szCs w:val="24"/>
              </w:rPr>
              <w:t>运维管理</w:t>
            </w: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运维管理水平</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设施设备是否运转正常，是否有运维痕迹，是否存在损坏、堵塞、缺失、无污泥、无挂膜、清水进清水出等情形。</w:t>
            </w:r>
          </w:p>
        </w:tc>
        <w:tc>
          <w:tcPr>
            <w:tcW w:w="255" w:type="pct"/>
            <w:vAlign w:val="center"/>
          </w:tcPr>
          <w:p>
            <w:pPr>
              <w:overflowPunct w:val="0"/>
              <w:topLinePunct/>
              <w:spacing w:line="33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24</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spacing w:line="330" w:lineRule="exact"/>
              <w:jc w:val="center"/>
              <w:rPr>
                <w:rFonts w:cs="仿宋_GB2312"/>
                <w:spacing w:val="0"/>
                <w:sz w:val="24"/>
                <w:highlight w:val="yellow"/>
              </w:rPr>
            </w:pPr>
            <w:r>
              <w:rPr>
                <w:rFonts w:hint="eastAsia" w:cs="仿宋_GB2312"/>
                <w:spacing w:val="0"/>
                <w:sz w:val="24"/>
                <w:szCs w:val="24"/>
              </w:rPr>
              <w:t>运行管护记录</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运维管理台账记录规范情况，包括巡检养护情况、异常情况处置等台账。</w:t>
            </w:r>
          </w:p>
        </w:tc>
        <w:tc>
          <w:tcPr>
            <w:tcW w:w="255" w:type="pct"/>
            <w:vAlign w:val="center"/>
          </w:tcPr>
          <w:p>
            <w:pPr>
              <w:overflowPunct w:val="0"/>
              <w:topLinePunct/>
              <w:spacing w:line="330" w:lineRule="exact"/>
              <w:jc w:val="center"/>
              <w:rPr>
                <w:spacing w:val="0"/>
                <w:sz w:val="24"/>
                <w:highlight w:val="yellow"/>
              </w:rPr>
            </w:pPr>
            <w:r>
              <w:rPr>
                <w:rFonts w:hint="eastAsia"/>
                <w:spacing w:val="0"/>
                <w:sz w:val="24"/>
                <w:szCs w:val="24"/>
              </w:rPr>
              <w:t>2</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无台账记录的，发现1处扣0.2分；台账记录不完整的，发现1处扣0.1分；扣完为止。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25</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治理效果</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是否存在出水不达标，或因生活污水未有效治理导致周边水体黑臭、水质恶化、土壤和地下水污染等情形。</w:t>
            </w:r>
          </w:p>
        </w:tc>
        <w:tc>
          <w:tcPr>
            <w:tcW w:w="255" w:type="pct"/>
            <w:vAlign w:val="center"/>
          </w:tcPr>
          <w:p>
            <w:pPr>
              <w:overflowPunct w:val="0"/>
              <w:topLinePunct/>
              <w:spacing w:line="33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存在任一情形的，发现1处扣0.5分，扣完为止。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26</w:t>
            </w:r>
          </w:p>
        </w:tc>
        <w:tc>
          <w:tcPr>
            <w:tcW w:w="543" w:type="pct"/>
            <w:vMerge w:val="continue"/>
            <w:vAlign w:val="center"/>
          </w:tcPr>
          <w:p>
            <w:pPr>
              <w:overflowPunct w:val="0"/>
              <w:topLinePunct/>
              <w:spacing w:line="330" w:lineRule="exact"/>
              <w:jc w:val="center"/>
              <w:rPr>
                <w:rFonts w:cs="仿宋_GB2312"/>
                <w:spacing w:val="0"/>
                <w:sz w:val="24"/>
              </w:rPr>
            </w:pP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安全管理</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是否存在用电、受限空间作业等安全隐患。</w:t>
            </w:r>
          </w:p>
        </w:tc>
        <w:tc>
          <w:tcPr>
            <w:tcW w:w="255" w:type="pct"/>
            <w:vAlign w:val="center"/>
          </w:tcPr>
          <w:p>
            <w:pPr>
              <w:overflowPunct w:val="0"/>
              <w:topLinePunct/>
              <w:spacing w:line="33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发现1处扣0.2分；扣完为止。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27</w:t>
            </w:r>
          </w:p>
        </w:tc>
        <w:tc>
          <w:tcPr>
            <w:tcW w:w="543" w:type="pct"/>
            <w:vMerge w:val="restart"/>
            <w:vAlign w:val="center"/>
          </w:tcPr>
          <w:p>
            <w:pPr>
              <w:overflowPunct w:val="0"/>
              <w:topLinePunct/>
              <w:spacing w:line="330" w:lineRule="exact"/>
              <w:jc w:val="center"/>
              <w:rPr>
                <w:rFonts w:cs="仿宋_GB2312"/>
                <w:spacing w:val="0"/>
                <w:sz w:val="24"/>
                <w:szCs w:val="24"/>
              </w:rPr>
            </w:pPr>
            <w:r>
              <w:rPr>
                <w:rFonts w:hint="eastAsia" w:cs="仿宋_GB2312"/>
                <w:spacing w:val="0"/>
                <w:sz w:val="24"/>
                <w:szCs w:val="24"/>
              </w:rPr>
              <w:t>村庄环境</w:t>
            </w: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环境卫生</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设施是否保持环境整洁、美观、卫生，站点范围内是否有杂物、垃圾堆积等情况。</w:t>
            </w:r>
          </w:p>
        </w:tc>
        <w:tc>
          <w:tcPr>
            <w:tcW w:w="255" w:type="pct"/>
            <w:vAlign w:val="center"/>
          </w:tcPr>
          <w:p>
            <w:pPr>
              <w:overflowPunct w:val="0"/>
              <w:topLinePunct/>
              <w:spacing w:line="330" w:lineRule="exact"/>
              <w:jc w:val="center"/>
              <w:rPr>
                <w:spacing w:val="0"/>
                <w:sz w:val="24"/>
              </w:rPr>
            </w:pPr>
            <w:r>
              <w:rPr>
                <w:rFonts w:hint="eastAsia"/>
                <w:spacing w:val="0"/>
                <w:sz w:val="24"/>
                <w:szCs w:val="24"/>
              </w:rPr>
              <w:t>2</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发现1处扣0.1分，扣完为止。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30" w:lineRule="exact"/>
              <w:jc w:val="center"/>
              <w:rPr>
                <w:spacing w:val="0"/>
                <w:sz w:val="24"/>
              </w:rPr>
            </w:pPr>
            <w:r>
              <w:rPr>
                <w:rFonts w:hint="eastAsia"/>
                <w:spacing w:val="0"/>
                <w:sz w:val="24"/>
              </w:rPr>
              <w:t>28</w:t>
            </w:r>
          </w:p>
        </w:tc>
        <w:tc>
          <w:tcPr>
            <w:tcW w:w="543" w:type="pct"/>
            <w:vMerge w:val="continue"/>
            <w:vAlign w:val="center"/>
          </w:tcPr>
          <w:p>
            <w:pPr>
              <w:overflowPunct w:val="0"/>
              <w:topLinePunct/>
              <w:spacing w:line="330" w:lineRule="exact"/>
              <w:jc w:val="center"/>
              <w:rPr>
                <w:rFonts w:cs="仿宋_GB2312"/>
                <w:spacing w:val="0"/>
                <w:sz w:val="24"/>
                <w:szCs w:val="24"/>
              </w:rPr>
            </w:pPr>
          </w:p>
        </w:tc>
        <w:tc>
          <w:tcPr>
            <w:tcW w:w="769" w:type="pct"/>
            <w:vAlign w:val="center"/>
          </w:tcPr>
          <w:p>
            <w:pPr>
              <w:overflowPunct w:val="0"/>
              <w:topLinePunct/>
              <w:spacing w:line="330" w:lineRule="exact"/>
              <w:jc w:val="center"/>
              <w:rPr>
                <w:rFonts w:cs="仿宋_GB2312"/>
                <w:spacing w:val="0"/>
                <w:sz w:val="24"/>
              </w:rPr>
            </w:pPr>
            <w:r>
              <w:rPr>
                <w:rFonts w:hint="eastAsia" w:cs="仿宋_GB2312"/>
                <w:spacing w:val="0"/>
                <w:sz w:val="24"/>
                <w:szCs w:val="24"/>
              </w:rPr>
              <w:t>村庄整洁</w:t>
            </w:r>
          </w:p>
        </w:tc>
        <w:tc>
          <w:tcPr>
            <w:tcW w:w="1639"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是否存在厕所粪污直排或化粪池溢流，是否存在生活污水横流或乱倒乱排现象；公共空间或房前屋后是否存在黑臭水体、臭水沟、臭水坑等。</w:t>
            </w:r>
          </w:p>
        </w:tc>
        <w:tc>
          <w:tcPr>
            <w:tcW w:w="255" w:type="pct"/>
            <w:vAlign w:val="center"/>
          </w:tcPr>
          <w:p>
            <w:pPr>
              <w:overflowPunct w:val="0"/>
              <w:topLinePunct/>
              <w:spacing w:line="33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30" w:lineRule="exact"/>
              <w:rPr>
                <w:spacing w:val="0"/>
                <w:sz w:val="24"/>
                <w:szCs w:val="24"/>
              </w:rPr>
            </w:pPr>
            <w:r>
              <w:rPr>
                <w:rFonts w:hint="eastAsia"/>
                <w:spacing w:val="0"/>
                <w:sz w:val="24"/>
                <w:szCs w:val="24"/>
              </w:rPr>
              <w:t>存在任一情形的，发现1处扣0.5分，扣完为止。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20" w:lineRule="exact"/>
              <w:jc w:val="center"/>
              <w:rPr>
                <w:spacing w:val="0"/>
                <w:sz w:val="24"/>
              </w:rPr>
            </w:pPr>
            <w:r>
              <w:rPr>
                <w:rFonts w:hint="eastAsia"/>
                <w:spacing w:val="0"/>
                <w:sz w:val="24"/>
              </w:rPr>
              <w:t>29</w:t>
            </w:r>
          </w:p>
        </w:tc>
        <w:tc>
          <w:tcPr>
            <w:tcW w:w="543" w:type="pct"/>
            <w:vMerge w:val="restart"/>
            <w:vAlign w:val="center"/>
          </w:tcPr>
          <w:p>
            <w:pPr>
              <w:overflowPunct w:val="0"/>
              <w:topLinePunct/>
              <w:spacing w:line="320" w:lineRule="exact"/>
              <w:jc w:val="center"/>
              <w:rPr>
                <w:rFonts w:cs="仿宋_GB2312"/>
                <w:spacing w:val="0"/>
                <w:sz w:val="24"/>
                <w:szCs w:val="24"/>
              </w:rPr>
            </w:pPr>
            <w:r>
              <w:rPr>
                <w:rFonts w:hint="eastAsia" w:cs="仿宋_GB2312"/>
                <w:spacing w:val="0"/>
                <w:sz w:val="24"/>
                <w:szCs w:val="24"/>
              </w:rPr>
              <w:t>群众满意度</w:t>
            </w:r>
          </w:p>
        </w:tc>
        <w:tc>
          <w:tcPr>
            <w:tcW w:w="769" w:type="pct"/>
            <w:vAlign w:val="center"/>
          </w:tcPr>
          <w:p>
            <w:pPr>
              <w:overflowPunct w:val="0"/>
              <w:topLinePunct/>
              <w:spacing w:line="320" w:lineRule="exact"/>
              <w:jc w:val="center"/>
              <w:rPr>
                <w:rFonts w:cs="仿宋_GB2312"/>
                <w:spacing w:val="0"/>
                <w:sz w:val="24"/>
              </w:rPr>
            </w:pPr>
            <w:r>
              <w:rPr>
                <w:rFonts w:hint="eastAsia" w:cs="仿宋_GB2312"/>
                <w:spacing w:val="0"/>
                <w:sz w:val="24"/>
                <w:szCs w:val="24"/>
              </w:rPr>
              <w:t>公众满意度</w:t>
            </w:r>
          </w:p>
        </w:tc>
        <w:tc>
          <w:tcPr>
            <w:tcW w:w="1639"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受益群众对污水处理效果的满意率。</w:t>
            </w:r>
          </w:p>
        </w:tc>
        <w:tc>
          <w:tcPr>
            <w:tcW w:w="255" w:type="pct"/>
            <w:vAlign w:val="center"/>
          </w:tcPr>
          <w:p>
            <w:pPr>
              <w:overflowPunct w:val="0"/>
              <w:topLinePunct/>
              <w:spacing w:line="32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调查问卷满意度≥80%，得5分；70%≤满意度&lt;80%，得3分；60%≤满意度&lt;70%，得1分；满意度&lt;60%，不得分。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20" w:lineRule="exact"/>
              <w:jc w:val="center"/>
              <w:rPr>
                <w:spacing w:val="0"/>
                <w:sz w:val="24"/>
              </w:rPr>
            </w:pPr>
            <w:r>
              <w:rPr>
                <w:rFonts w:hint="eastAsia"/>
                <w:spacing w:val="0"/>
                <w:sz w:val="24"/>
              </w:rPr>
              <w:t>30</w:t>
            </w:r>
          </w:p>
        </w:tc>
        <w:tc>
          <w:tcPr>
            <w:tcW w:w="543" w:type="pct"/>
            <w:vMerge w:val="continue"/>
            <w:vAlign w:val="center"/>
          </w:tcPr>
          <w:p>
            <w:pPr>
              <w:overflowPunct w:val="0"/>
              <w:topLinePunct/>
              <w:spacing w:line="320" w:lineRule="exact"/>
              <w:jc w:val="center"/>
              <w:rPr>
                <w:rFonts w:cs="仿宋_GB2312"/>
                <w:spacing w:val="0"/>
                <w:sz w:val="24"/>
              </w:rPr>
            </w:pPr>
          </w:p>
        </w:tc>
        <w:tc>
          <w:tcPr>
            <w:tcW w:w="769" w:type="pct"/>
            <w:vAlign w:val="center"/>
          </w:tcPr>
          <w:p>
            <w:pPr>
              <w:overflowPunct w:val="0"/>
              <w:topLinePunct/>
              <w:spacing w:line="320" w:lineRule="exact"/>
              <w:jc w:val="center"/>
              <w:rPr>
                <w:rFonts w:cs="仿宋_GB2312"/>
                <w:spacing w:val="0"/>
                <w:sz w:val="24"/>
              </w:rPr>
            </w:pPr>
            <w:r>
              <w:rPr>
                <w:rFonts w:hint="eastAsia" w:cs="仿宋_GB2312"/>
                <w:spacing w:val="0"/>
                <w:sz w:val="24"/>
                <w:szCs w:val="24"/>
              </w:rPr>
              <w:t>群众投诉</w:t>
            </w:r>
          </w:p>
        </w:tc>
        <w:tc>
          <w:tcPr>
            <w:tcW w:w="1639"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是否存在被群众有效投诉且查证属实的情形。</w:t>
            </w:r>
          </w:p>
        </w:tc>
        <w:tc>
          <w:tcPr>
            <w:tcW w:w="255" w:type="pct"/>
            <w:vAlign w:val="center"/>
          </w:tcPr>
          <w:p>
            <w:pPr>
              <w:overflowPunct w:val="0"/>
              <w:topLinePunct/>
              <w:spacing w:line="32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20" w:lineRule="exact"/>
              <w:rPr>
                <w:spacing w:val="0"/>
                <w:sz w:val="24"/>
              </w:rPr>
            </w:pPr>
            <w:r>
              <w:rPr>
                <w:rFonts w:hint="eastAsia"/>
                <w:spacing w:val="0"/>
                <w:sz w:val="24"/>
                <w:szCs w:val="24"/>
              </w:rPr>
              <w:t>存在1起扣1分，</w:t>
            </w:r>
            <w:r>
              <w:rPr>
                <w:spacing w:val="0"/>
                <w:sz w:val="24"/>
                <w:szCs w:val="24"/>
              </w:rPr>
              <w:t>扣完为止</w:t>
            </w:r>
            <w:r>
              <w:rPr>
                <w:rFonts w:hint="eastAsia"/>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000" w:type="pct"/>
            <w:gridSpan w:val="6"/>
            <w:vAlign w:val="center"/>
          </w:tcPr>
          <w:p>
            <w:pPr>
              <w:overflowPunct w:val="0"/>
              <w:topLinePunct/>
              <w:spacing w:line="320" w:lineRule="exact"/>
              <w:rPr>
                <w:spacing w:val="0"/>
                <w:sz w:val="24"/>
              </w:rPr>
            </w:pPr>
            <w:r>
              <w:rPr>
                <w:rFonts w:hint="eastAsia" w:eastAsia="楷体_GB2312" w:cs="黑体"/>
                <w:b/>
                <w:spacing w:val="0"/>
                <w:sz w:val="24"/>
                <w:szCs w:val="24"/>
              </w:rPr>
              <w:t>三、加分项（</w:t>
            </w:r>
            <w:r>
              <w:rPr>
                <w:rFonts w:eastAsia="楷体_GB2312" w:cs="黑体"/>
                <w:b/>
                <w:spacing w:val="0"/>
                <w:sz w:val="24"/>
                <w:szCs w:val="24"/>
              </w:rPr>
              <w:t>15</w:t>
            </w:r>
            <w:r>
              <w:rPr>
                <w:rFonts w:hint="eastAsia" w:eastAsia="楷体_GB2312" w:cs="黑体"/>
                <w: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20" w:lineRule="exact"/>
              <w:jc w:val="center"/>
              <w:rPr>
                <w:spacing w:val="0"/>
                <w:sz w:val="24"/>
              </w:rPr>
            </w:pPr>
            <w:r>
              <w:rPr>
                <w:rFonts w:hint="eastAsia"/>
                <w:spacing w:val="0"/>
                <w:sz w:val="24"/>
              </w:rPr>
              <w:t>31</w:t>
            </w:r>
          </w:p>
        </w:tc>
        <w:tc>
          <w:tcPr>
            <w:tcW w:w="543" w:type="pct"/>
            <w:vMerge w:val="restart"/>
            <w:vAlign w:val="center"/>
          </w:tcPr>
          <w:p>
            <w:pPr>
              <w:overflowPunct w:val="0"/>
              <w:topLinePunct/>
              <w:spacing w:line="320" w:lineRule="exact"/>
              <w:jc w:val="center"/>
              <w:rPr>
                <w:rFonts w:cs="仿宋_GB2312"/>
                <w:color w:val="000000"/>
                <w:spacing w:val="0"/>
                <w:kern w:val="0"/>
                <w:sz w:val="24"/>
                <w:szCs w:val="24"/>
              </w:rPr>
            </w:pPr>
            <w:r>
              <w:rPr>
                <w:rFonts w:hint="eastAsia" w:cs="仿宋_GB2312"/>
                <w:color w:val="000000"/>
                <w:spacing w:val="0"/>
                <w:kern w:val="0"/>
                <w:sz w:val="24"/>
                <w:szCs w:val="24"/>
              </w:rPr>
              <w:t>工作成效</w:t>
            </w:r>
          </w:p>
        </w:tc>
        <w:tc>
          <w:tcPr>
            <w:tcW w:w="769" w:type="pct"/>
            <w:vAlign w:val="center"/>
          </w:tcPr>
          <w:p>
            <w:pPr>
              <w:overflowPunct w:val="0"/>
              <w:topLinePunct/>
              <w:spacing w:line="320" w:lineRule="exact"/>
              <w:jc w:val="center"/>
              <w:rPr>
                <w:rFonts w:cs="仿宋_GB2312"/>
                <w:spacing w:val="0"/>
                <w:sz w:val="24"/>
                <w:szCs w:val="24"/>
              </w:rPr>
            </w:pPr>
            <w:r>
              <w:rPr>
                <w:rFonts w:hint="eastAsia" w:cs="仿宋_GB2312"/>
                <w:spacing w:val="0"/>
                <w:sz w:val="24"/>
                <w:szCs w:val="24"/>
              </w:rPr>
              <w:t>示范推广</w:t>
            </w:r>
          </w:p>
        </w:tc>
        <w:tc>
          <w:tcPr>
            <w:tcW w:w="1639"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治理模式被省级及以上相关部门推广。</w:t>
            </w:r>
          </w:p>
        </w:tc>
        <w:tc>
          <w:tcPr>
            <w:tcW w:w="255" w:type="pct"/>
            <w:vAlign w:val="center"/>
          </w:tcPr>
          <w:p>
            <w:pPr>
              <w:overflowPunct w:val="0"/>
              <w:topLinePunct/>
              <w:spacing w:line="320" w:lineRule="exact"/>
              <w:jc w:val="center"/>
              <w:rPr>
                <w:spacing w:val="0"/>
                <w:sz w:val="24"/>
                <w:szCs w:val="24"/>
              </w:rPr>
            </w:pPr>
            <w:r>
              <w:rPr>
                <w:rFonts w:hint="eastAsia"/>
                <w:spacing w:val="0"/>
                <w:sz w:val="24"/>
                <w:szCs w:val="24"/>
              </w:rPr>
              <w:t>5</w:t>
            </w:r>
          </w:p>
        </w:tc>
        <w:tc>
          <w:tcPr>
            <w:tcW w:w="1548"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近两年作为典型案例被中央和国家部委进行宣传推广的，每次加3分；作为典型案例被省级有关部门进行宣传推广的，每次加2分。最高不超过5分。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20" w:lineRule="exact"/>
              <w:jc w:val="center"/>
              <w:rPr>
                <w:spacing w:val="0"/>
                <w:sz w:val="24"/>
              </w:rPr>
            </w:pPr>
            <w:r>
              <w:rPr>
                <w:rFonts w:hint="eastAsia"/>
                <w:spacing w:val="0"/>
                <w:sz w:val="24"/>
              </w:rPr>
              <w:t>32</w:t>
            </w:r>
          </w:p>
        </w:tc>
        <w:tc>
          <w:tcPr>
            <w:tcW w:w="543" w:type="pct"/>
            <w:vMerge w:val="continue"/>
            <w:vAlign w:val="center"/>
          </w:tcPr>
          <w:p>
            <w:pPr>
              <w:overflowPunct w:val="0"/>
              <w:topLinePunct/>
              <w:spacing w:line="320" w:lineRule="exact"/>
              <w:jc w:val="center"/>
              <w:rPr>
                <w:rFonts w:cs="仿宋_GB2312"/>
                <w:color w:val="000000"/>
                <w:spacing w:val="0"/>
                <w:kern w:val="0"/>
                <w:sz w:val="24"/>
                <w:szCs w:val="24"/>
              </w:rPr>
            </w:pPr>
          </w:p>
        </w:tc>
        <w:tc>
          <w:tcPr>
            <w:tcW w:w="769" w:type="pct"/>
            <w:vAlign w:val="center"/>
          </w:tcPr>
          <w:p>
            <w:pPr>
              <w:overflowPunct w:val="0"/>
              <w:topLinePunct/>
              <w:spacing w:line="320" w:lineRule="exact"/>
              <w:jc w:val="center"/>
              <w:rPr>
                <w:rFonts w:cs="仿宋_GB2312"/>
                <w:spacing w:val="0"/>
                <w:sz w:val="24"/>
                <w:szCs w:val="24"/>
              </w:rPr>
            </w:pPr>
            <w:r>
              <w:rPr>
                <w:rFonts w:hint="eastAsia" w:cs="仿宋_GB2312"/>
                <w:spacing w:val="0"/>
                <w:sz w:val="24"/>
                <w:szCs w:val="24"/>
              </w:rPr>
              <w:t>会议承办</w:t>
            </w:r>
          </w:p>
        </w:tc>
        <w:tc>
          <w:tcPr>
            <w:tcW w:w="1639"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辖区内承办过省级及以上农村生活污水治理工作相关会议。</w:t>
            </w:r>
          </w:p>
        </w:tc>
        <w:tc>
          <w:tcPr>
            <w:tcW w:w="255" w:type="pct"/>
            <w:vAlign w:val="center"/>
          </w:tcPr>
          <w:p>
            <w:pPr>
              <w:overflowPunct w:val="0"/>
              <w:topLinePunct/>
              <w:spacing w:line="320" w:lineRule="exact"/>
              <w:jc w:val="center"/>
              <w:rPr>
                <w:spacing w:val="0"/>
                <w:sz w:val="24"/>
                <w:szCs w:val="24"/>
              </w:rPr>
            </w:pPr>
            <w:r>
              <w:rPr>
                <w:rFonts w:hint="eastAsia"/>
                <w:spacing w:val="0"/>
                <w:sz w:val="24"/>
                <w:szCs w:val="24"/>
              </w:rPr>
              <w:t>5</w:t>
            </w:r>
          </w:p>
        </w:tc>
        <w:tc>
          <w:tcPr>
            <w:tcW w:w="1548"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近两年承办全国农村生活污水治理相关会议，每次加3分；在全国农村生活污水治理相关会议上交流先进经验的，每次加2分；承办省级农村生活污水治理相关会议，每次加2分；在省级农村生活污水治理相关会议上交流先进经验的，每次加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20" w:lineRule="exact"/>
              <w:jc w:val="center"/>
              <w:rPr>
                <w:spacing w:val="0"/>
                <w:sz w:val="24"/>
              </w:rPr>
            </w:pPr>
            <w:r>
              <w:rPr>
                <w:rFonts w:hint="eastAsia"/>
                <w:spacing w:val="0"/>
                <w:sz w:val="24"/>
              </w:rPr>
              <w:t>33</w:t>
            </w:r>
          </w:p>
        </w:tc>
        <w:tc>
          <w:tcPr>
            <w:tcW w:w="543" w:type="pct"/>
            <w:vMerge w:val="continue"/>
            <w:vAlign w:val="center"/>
          </w:tcPr>
          <w:p>
            <w:pPr>
              <w:overflowPunct w:val="0"/>
              <w:topLinePunct/>
              <w:spacing w:line="320" w:lineRule="exact"/>
              <w:jc w:val="center"/>
              <w:rPr>
                <w:rFonts w:cs="仿宋_GB2312"/>
                <w:color w:val="000000"/>
                <w:spacing w:val="0"/>
                <w:kern w:val="0"/>
                <w:sz w:val="24"/>
              </w:rPr>
            </w:pPr>
          </w:p>
        </w:tc>
        <w:tc>
          <w:tcPr>
            <w:tcW w:w="769" w:type="pct"/>
            <w:vAlign w:val="center"/>
          </w:tcPr>
          <w:p>
            <w:pPr>
              <w:overflowPunct w:val="0"/>
              <w:topLinePunct/>
              <w:spacing w:line="320" w:lineRule="exact"/>
              <w:jc w:val="center"/>
              <w:rPr>
                <w:rFonts w:cs="仿宋_GB2312"/>
                <w:spacing w:val="0"/>
                <w:sz w:val="24"/>
              </w:rPr>
            </w:pPr>
            <w:r>
              <w:rPr>
                <w:rFonts w:hint="eastAsia" w:cs="仿宋_GB2312"/>
                <w:spacing w:val="0"/>
                <w:sz w:val="24"/>
                <w:szCs w:val="24"/>
              </w:rPr>
              <w:t>领导肯定</w:t>
            </w:r>
          </w:p>
        </w:tc>
        <w:tc>
          <w:tcPr>
            <w:tcW w:w="1639" w:type="pct"/>
            <w:vAlign w:val="center"/>
          </w:tcPr>
          <w:p>
            <w:pPr>
              <w:overflowPunct w:val="0"/>
              <w:topLinePunct/>
              <w:adjustRightInd w:val="0"/>
              <w:snapToGrid w:val="0"/>
              <w:spacing w:line="320" w:lineRule="exact"/>
              <w:rPr>
                <w:spacing w:val="0"/>
                <w:sz w:val="24"/>
              </w:rPr>
            </w:pPr>
            <w:r>
              <w:rPr>
                <w:rFonts w:hint="eastAsia"/>
                <w:spacing w:val="0"/>
                <w:sz w:val="24"/>
                <w:szCs w:val="24"/>
              </w:rPr>
              <w:t>获得厅局级以上主要领导</w:t>
            </w:r>
            <w:r>
              <w:rPr>
                <w:rFonts w:hint="eastAsia" w:cs="仿宋_GB2312"/>
                <w:spacing w:val="0"/>
                <w:sz w:val="24"/>
                <w:szCs w:val="24"/>
              </w:rPr>
              <w:t>肯定</w:t>
            </w:r>
            <w:r>
              <w:rPr>
                <w:rFonts w:hint="eastAsia"/>
                <w:spacing w:val="0"/>
                <w:sz w:val="24"/>
                <w:szCs w:val="24"/>
              </w:rPr>
              <w:t>性批示的。</w:t>
            </w:r>
          </w:p>
        </w:tc>
        <w:tc>
          <w:tcPr>
            <w:tcW w:w="255" w:type="pct"/>
            <w:vAlign w:val="center"/>
          </w:tcPr>
          <w:p>
            <w:pPr>
              <w:overflowPunct w:val="0"/>
              <w:topLinePunct/>
              <w:spacing w:line="320" w:lineRule="exact"/>
              <w:jc w:val="center"/>
              <w:rPr>
                <w:spacing w:val="0"/>
                <w:sz w:val="24"/>
              </w:rPr>
            </w:pPr>
            <w:r>
              <w:rPr>
                <w:rFonts w:hint="eastAsia"/>
                <w:spacing w:val="0"/>
                <w:sz w:val="24"/>
                <w:szCs w:val="24"/>
              </w:rPr>
              <w:t>5</w:t>
            </w:r>
          </w:p>
        </w:tc>
        <w:tc>
          <w:tcPr>
            <w:tcW w:w="1548" w:type="pct"/>
            <w:vAlign w:val="center"/>
          </w:tcPr>
          <w:p>
            <w:pPr>
              <w:overflowPunct w:val="0"/>
              <w:topLinePunct/>
              <w:adjustRightInd w:val="0"/>
              <w:snapToGrid w:val="0"/>
              <w:spacing w:line="320" w:lineRule="exact"/>
              <w:rPr>
                <w:spacing w:val="0"/>
                <w:sz w:val="24"/>
                <w:szCs w:val="24"/>
              </w:rPr>
            </w:pPr>
            <w:r>
              <w:rPr>
                <w:rFonts w:hint="eastAsia"/>
                <w:spacing w:val="0"/>
                <w:sz w:val="24"/>
                <w:szCs w:val="24"/>
              </w:rPr>
              <w:t>近两年农村生活污水治理工作受到中央领导肯定性批示的，每件加4分；受到中央和国家机关以及省委省政府主要领导肯定性批示的，每件加3分；受到中央和国家机关以及省委省政府分管领导肯定性批示的，每件加2分；受到省直部门和市委市政府主要领导肯定性批示的，每件加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5000" w:type="pct"/>
            <w:gridSpan w:val="6"/>
            <w:vAlign w:val="center"/>
          </w:tcPr>
          <w:p>
            <w:pPr>
              <w:overflowPunct w:val="0"/>
              <w:topLinePunct/>
              <w:spacing w:line="360" w:lineRule="exact"/>
              <w:rPr>
                <w:spacing w:val="0"/>
                <w:sz w:val="24"/>
              </w:rPr>
            </w:pPr>
            <w:r>
              <w:rPr>
                <w:rFonts w:hint="eastAsia" w:eastAsia="楷体_GB2312" w:cs="黑体"/>
                <w:b/>
                <w:spacing w:val="0"/>
                <w:sz w:val="24"/>
                <w:szCs w:val="24"/>
              </w:rPr>
              <w:t>四、扣分项（</w:t>
            </w:r>
            <w:r>
              <w:rPr>
                <w:rFonts w:eastAsia="楷体_GB2312" w:cs="黑体"/>
                <w:b/>
                <w:spacing w:val="0"/>
                <w:sz w:val="24"/>
                <w:szCs w:val="24"/>
              </w:rPr>
              <w:t>15</w:t>
            </w:r>
            <w:r>
              <w:rPr>
                <w:rFonts w:hint="eastAsia" w:eastAsia="楷体_GB2312" w:cs="黑体"/>
                <w: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rFonts w:hint="eastAsia"/>
                <w:spacing w:val="0"/>
                <w:sz w:val="24"/>
              </w:rPr>
              <w:t>34</w:t>
            </w:r>
          </w:p>
        </w:tc>
        <w:tc>
          <w:tcPr>
            <w:tcW w:w="543" w:type="pct"/>
            <w:vAlign w:val="center"/>
          </w:tcPr>
          <w:p>
            <w:pPr>
              <w:overflowPunct w:val="0"/>
              <w:topLinePunct/>
              <w:spacing w:line="360" w:lineRule="exact"/>
              <w:jc w:val="center"/>
              <w:rPr>
                <w:rFonts w:cs="仿宋_GB2312"/>
                <w:color w:val="000000"/>
                <w:spacing w:val="0"/>
                <w:kern w:val="0"/>
                <w:sz w:val="24"/>
                <w:szCs w:val="24"/>
              </w:rPr>
            </w:pPr>
            <w:r>
              <w:rPr>
                <w:rFonts w:hint="eastAsia" w:cs="仿宋_GB2312"/>
                <w:color w:val="000000"/>
                <w:spacing w:val="0"/>
                <w:kern w:val="0"/>
                <w:sz w:val="24"/>
                <w:szCs w:val="24"/>
              </w:rPr>
              <w:t>工作推进</w:t>
            </w:r>
          </w:p>
        </w:tc>
        <w:tc>
          <w:tcPr>
            <w:tcW w:w="769" w:type="pct"/>
            <w:vAlign w:val="center"/>
          </w:tcPr>
          <w:p>
            <w:pPr>
              <w:overflowPunct w:val="0"/>
              <w:topLinePunct/>
              <w:spacing w:line="360" w:lineRule="exact"/>
              <w:jc w:val="center"/>
              <w:rPr>
                <w:rFonts w:cs="仿宋_GB2312"/>
                <w:spacing w:val="0"/>
                <w:sz w:val="24"/>
                <w:szCs w:val="24"/>
              </w:rPr>
            </w:pPr>
            <w:r>
              <w:rPr>
                <w:rFonts w:hint="eastAsia" w:cs="仿宋_GB2312"/>
                <w:spacing w:val="0"/>
                <w:sz w:val="24"/>
                <w:szCs w:val="24"/>
              </w:rPr>
              <w:t>目标任务完成情况</w:t>
            </w:r>
          </w:p>
        </w:tc>
        <w:tc>
          <w:tcPr>
            <w:tcW w:w="1639"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是否完成农村生活污水治理年度目标、“千村示范工程”建设任务等目标任务。</w:t>
            </w:r>
          </w:p>
        </w:tc>
        <w:tc>
          <w:tcPr>
            <w:tcW w:w="255" w:type="pct"/>
            <w:vAlign w:val="center"/>
          </w:tcPr>
          <w:p>
            <w:pPr>
              <w:overflowPunct w:val="0"/>
              <w:topLinePunct/>
              <w:spacing w:line="360" w:lineRule="exact"/>
              <w:jc w:val="center"/>
              <w:rPr>
                <w:spacing w:val="0"/>
                <w:sz w:val="24"/>
                <w:szCs w:val="24"/>
              </w:rPr>
            </w:pPr>
            <w:r>
              <w:rPr>
                <w:rFonts w:hint="eastAsia"/>
                <w:spacing w:val="0"/>
                <w:sz w:val="24"/>
                <w:szCs w:val="24"/>
              </w:rPr>
              <w:t>3</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近两年出现1次未完成的扣</w:t>
            </w:r>
            <w:r>
              <w:rPr>
                <w:spacing w:val="0"/>
                <w:sz w:val="24"/>
                <w:szCs w:val="24"/>
              </w:rPr>
              <w:t>1</w:t>
            </w:r>
            <w:r>
              <w:rPr>
                <w:rFonts w:hint="eastAsia"/>
                <w:spacing w:val="0"/>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rFonts w:hint="eastAsia"/>
                <w:spacing w:val="0"/>
                <w:sz w:val="24"/>
              </w:rPr>
              <w:t>35</w:t>
            </w:r>
          </w:p>
        </w:tc>
        <w:tc>
          <w:tcPr>
            <w:tcW w:w="543" w:type="pct"/>
            <w:vMerge w:val="restart"/>
            <w:vAlign w:val="center"/>
          </w:tcPr>
          <w:p>
            <w:pPr>
              <w:overflowPunct w:val="0"/>
              <w:topLinePunct/>
              <w:spacing w:line="360" w:lineRule="exact"/>
              <w:jc w:val="center"/>
              <w:rPr>
                <w:rFonts w:cs="仿宋_GB2312"/>
                <w:color w:val="000000"/>
                <w:spacing w:val="0"/>
                <w:kern w:val="0"/>
                <w:sz w:val="24"/>
                <w:szCs w:val="24"/>
              </w:rPr>
            </w:pPr>
            <w:r>
              <w:rPr>
                <w:rFonts w:hint="eastAsia" w:cs="仿宋_GB2312"/>
                <w:color w:val="000000"/>
                <w:spacing w:val="0"/>
                <w:kern w:val="0"/>
                <w:sz w:val="24"/>
                <w:szCs w:val="24"/>
              </w:rPr>
              <w:t>监督情况</w:t>
            </w:r>
          </w:p>
        </w:tc>
        <w:tc>
          <w:tcPr>
            <w:tcW w:w="769" w:type="pct"/>
            <w:vAlign w:val="center"/>
          </w:tcPr>
          <w:p>
            <w:pPr>
              <w:overflowPunct w:val="0"/>
              <w:topLinePunct/>
              <w:spacing w:line="360" w:lineRule="exact"/>
              <w:jc w:val="center"/>
              <w:rPr>
                <w:spacing w:val="0"/>
                <w:sz w:val="24"/>
              </w:rPr>
            </w:pPr>
            <w:r>
              <w:rPr>
                <w:rFonts w:hint="eastAsia"/>
                <w:spacing w:val="0"/>
                <w:sz w:val="24"/>
                <w:szCs w:val="24"/>
              </w:rPr>
              <w:t>问题通报情况</w:t>
            </w:r>
          </w:p>
        </w:tc>
        <w:tc>
          <w:tcPr>
            <w:tcW w:w="1639"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被省级及以上有关部门通报、处罚或被要求限期整改的。</w:t>
            </w:r>
          </w:p>
        </w:tc>
        <w:tc>
          <w:tcPr>
            <w:tcW w:w="255" w:type="pct"/>
            <w:vAlign w:val="center"/>
          </w:tcPr>
          <w:p>
            <w:pPr>
              <w:overflowPunct w:val="0"/>
              <w:topLinePunct/>
              <w:spacing w:line="360" w:lineRule="exact"/>
              <w:jc w:val="center"/>
              <w:rPr>
                <w:spacing w:val="0"/>
                <w:sz w:val="24"/>
                <w:highlight w:val="yellow"/>
              </w:rPr>
            </w:pPr>
            <w:r>
              <w:rPr>
                <w:rFonts w:hint="eastAsia"/>
                <w:spacing w:val="0"/>
                <w:sz w:val="24"/>
                <w:szCs w:val="24"/>
              </w:rPr>
              <w:t>3</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近两年出现1次扣1分，扣完为止。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rFonts w:hint="eastAsia"/>
                <w:spacing w:val="0"/>
                <w:sz w:val="24"/>
              </w:rPr>
              <w:t>36</w:t>
            </w:r>
          </w:p>
        </w:tc>
        <w:tc>
          <w:tcPr>
            <w:tcW w:w="543" w:type="pct"/>
            <w:vMerge w:val="continue"/>
            <w:vAlign w:val="center"/>
          </w:tcPr>
          <w:p>
            <w:pPr>
              <w:overflowPunct w:val="0"/>
              <w:topLinePunct/>
              <w:spacing w:line="360" w:lineRule="exact"/>
              <w:jc w:val="center"/>
              <w:rPr>
                <w:rFonts w:cs="仿宋_GB2312"/>
                <w:color w:val="000000"/>
                <w:spacing w:val="0"/>
                <w:kern w:val="0"/>
                <w:sz w:val="24"/>
              </w:rPr>
            </w:pPr>
          </w:p>
        </w:tc>
        <w:tc>
          <w:tcPr>
            <w:tcW w:w="769" w:type="pct"/>
            <w:vAlign w:val="center"/>
          </w:tcPr>
          <w:p>
            <w:pPr>
              <w:overflowPunct w:val="0"/>
              <w:topLinePunct/>
              <w:spacing w:line="360" w:lineRule="exact"/>
              <w:jc w:val="center"/>
              <w:rPr>
                <w:spacing w:val="0"/>
                <w:sz w:val="24"/>
              </w:rPr>
            </w:pPr>
            <w:r>
              <w:rPr>
                <w:rFonts w:hint="eastAsia"/>
                <w:spacing w:val="0"/>
                <w:sz w:val="24"/>
                <w:szCs w:val="24"/>
              </w:rPr>
              <w:t>公众评价情况</w:t>
            </w:r>
          </w:p>
        </w:tc>
        <w:tc>
          <w:tcPr>
            <w:tcW w:w="1639"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被省级及以上主流媒体负面报道且查证属实的。</w:t>
            </w:r>
          </w:p>
        </w:tc>
        <w:tc>
          <w:tcPr>
            <w:tcW w:w="255" w:type="pct"/>
            <w:vAlign w:val="center"/>
          </w:tcPr>
          <w:p>
            <w:pPr>
              <w:overflowPunct w:val="0"/>
              <w:topLinePunct/>
              <w:spacing w:line="360" w:lineRule="exact"/>
              <w:jc w:val="center"/>
              <w:rPr>
                <w:spacing w:val="0"/>
                <w:sz w:val="24"/>
                <w:highlight w:val="yellow"/>
              </w:rPr>
            </w:pPr>
            <w:r>
              <w:rPr>
                <w:rFonts w:hint="eastAsia"/>
                <w:spacing w:val="0"/>
                <w:sz w:val="24"/>
                <w:szCs w:val="24"/>
              </w:rPr>
              <w:t>3</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近两年出现1次扣1分，扣完为止。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rFonts w:hint="eastAsia"/>
                <w:spacing w:val="0"/>
                <w:sz w:val="24"/>
              </w:rPr>
              <w:t>37</w:t>
            </w:r>
          </w:p>
        </w:tc>
        <w:tc>
          <w:tcPr>
            <w:tcW w:w="543" w:type="pct"/>
            <w:vMerge w:val="restart"/>
            <w:vAlign w:val="center"/>
          </w:tcPr>
          <w:p>
            <w:pPr>
              <w:overflowPunct w:val="0"/>
              <w:topLinePunct/>
              <w:spacing w:line="360" w:lineRule="exact"/>
              <w:jc w:val="center"/>
              <w:rPr>
                <w:rFonts w:cs="仿宋_GB2312"/>
                <w:color w:val="000000"/>
                <w:spacing w:val="0"/>
                <w:kern w:val="0"/>
                <w:sz w:val="24"/>
                <w:szCs w:val="24"/>
              </w:rPr>
            </w:pPr>
            <w:r>
              <w:rPr>
                <w:rFonts w:hint="eastAsia" w:cs="仿宋_GB2312"/>
                <w:color w:val="000000"/>
                <w:spacing w:val="0"/>
                <w:kern w:val="0"/>
                <w:sz w:val="24"/>
                <w:szCs w:val="24"/>
              </w:rPr>
              <w:t>安全环保</w:t>
            </w:r>
          </w:p>
        </w:tc>
        <w:tc>
          <w:tcPr>
            <w:tcW w:w="769" w:type="pct"/>
            <w:vAlign w:val="center"/>
          </w:tcPr>
          <w:p>
            <w:pPr>
              <w:overflowPunct w:val="0"/>
              <w:topLinePunct/>
              <w:spacing w:line="360" w:lineRule="exact"/>
              <w:jc w:val="center"/>
              <w:rPr>
                <w:spacing w:val="0"/>
                <w:sz w:val="24"/>
              </w:rPr>
            </w:pPr>
            <w:r>
              <w:rPr>
                <w:rFonts w:hint="eastAsia"/>
                <w:spacing w:val="0"/>
                <w:sz w:val="24"/>
                <w:szCs w:val="24"/>
              </w:rPr>
              <w:t>突发生态环境事件</w:t>
            </w:r>
          </w:p>
        </w:tc>
        <w:tc>
          <w:tcPr>
            <w:tcW w:w="1639"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是否发生农村生活污水治理相关突发生态环境事件。</w:t>
            </w:r>
          </w:p>
        </w:tc>
        <w:tc>
          <w:tcPr>
            <w:tcW w:w="255" w:type="pct"/>
            <w:vAlign w:val="center"/>
          </w:tcPr>
          <w:p>
            <w:pPr>
              <w:overflowPunct w:val="0"/>
              <w:topLinePunct/>
              <w:spacing w:line="360" w:lineRule="exact"/>
              <w:jc w:val="center"/>
              <w:rPr>
                <w:spacing w:val="0"/>
                <w:sz w:val="24"/>
                <w:highlight w:val="yellow"/>
              </w:rPr>
            </w:pPr>
            <w:r>
              <w:rPr>
                <w:rFonts w:hint="eastAsia"/>
                <w:spacing w:val="0"/>
                <w:sz w:val="24"/>
                <w:szCs w:val="24"/>
              </w:rPr>
              <w:t>3</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近两年发生1次扣3分。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rPr>
        <w:tc>
          <w:tcPr>
            <w:tcW w:w="246" w:type="pct"/>
            <w:vAlign w:val="center"/>
          </w:tcPr>
          <w:p>
            <w:pPr>
              <w:overflowPunct w:val="0"/>
              <w:topLinePunct/>
              <w:spacing w:line="360" w:lineRule="exact"/>
              <w:jc w:val="center"/>
              <w:rPr>
                <w:spacing w:val="0"/>
                <w:sz w:val="24"/>
              </w:rPr>
            </w:pPr>
            <w:r>
              <w:rPr>
                <w:rFonts w:hint="eastAsia"/>
                <w:spacing w:val="0"/>
                <w:sz w:val="24"/>
              </w:rPr>
              <w:t>38</w:t>
            </w:r>
          </w:p>
        </w:tc>
        <w:tc>
          <w:tcPr>
            <w:tcW w:w="543" w:type="pct"/>
            <w:vMerge w:val="continue"/>
            <w:vAlign w:val="center"/>
          </w:tcPr>
          <w:p>
            <w:pPr>
              <w:overflowPunct w:val="0"/>
              <w:topLinePunct/>
              <w:spacing w:line="360" w:lineRule="exact"/>
              <w:jc w:val="center"/>
              <w:rPr>
                <w:rFonts w:cs="仿宋_GB2312"/>
                <w:b/>
                <w:bCs/>
                <w:color w:val="000000"/>
                <w:spacing w:val="0"/>
                <w:kern w:val="0"/>
                <w:sz w:val="24"/>
              </w:rPr>
            </w:pPr>
          </w:p>
        </w:tc>
        <w:tc>
          <w:tcPr>
            <w:tcW w:w="769" w:type="pct"/>
            <w:vAlign w:val="center"/>
          </w:tcPr>
          <w:p>
            <w:pPr>
              <w:overflowPunct w:val="0"/>
              <w:topLinePunct/>
              <w:spacing w:line="360" w:lineRule="exact"/>
              <w:jc w:val="center"/>
              <w:rPr>
                <w:spacing w:val="0"/>
                <w:sz w:val="24"/>
              </w:rPr>
            </w:pPr>
            <w:r>
              <w:rPr>
                <w:rFonts w:hint="eastAsia"/>
                <w:spacing w:val="0"/>
                <w:sz w:val="24"/>
                <w:szCs w:val="24"/>
              </w:rPr>
              <w:t>安全生产事故</w:t>
            </w:r>
          </w:p>
        </w:tc>
        <w:tc>
          <w:tcPr>
            <w:tcW w:w="1639"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农村生活污水处理设施建设、运维过程中是否发生安全生产事故。</w:t>
            </w:r>
          </w:p>
        </w:tc>
        <w:tc>
          <w:tcPr>
            <w:tcW w:w="255" w:type="pct"/>
            <w:vAlign w:val="center"/>
          </w:tcPr>
          <w:p>
            <w:pPr>
              <w:overflowPunct w:val="0"/>
              <w:topLinePunct/>
              <w:spacing w:line="360" w:lineRule="exact"/>
              <w:jc w:val="center"/>
              <w:rPr>
                <w:spacing w:val="0"/>
                <w:sz w:val="24"/>
                <w:highlight w:val="yellow"/>
              </w:rPr>
            </w:pPr>
            <w:r>
              <w:rPr>
                <w:rFonts w:hint="eastAsia"/>
                <w:spacing w:val="0"/>
                <w:sz w:val="24"/>
                <w:szCs w:val="24"/>
              </w:rPr>
              <w:t>3</w:t>
            </w:r>
          </w:p>
        </w:tc>
        <w:tc>
          <w:tcPr>
            <w:tcW w:w="1548" w:type="pct"/>
            <w:vAlign w:val="center"/>
          </w:tcPr>
          <w:p>
            <w:pPr>
              <w:overflowPunct w:val="0"/>
              <w:topLinePunct/>
              <w:adjustRightInd w:val="0"/>
              <w:snapToGrid w:val="0"/>
              <w:spacing w:line="360" w:lineRule="exact"/>
              <w:rPr>
                <w:spacing w:val="0"/>
                <w:sz w:val="24"/>
                <w:szCs w:val="24"/>
              </w:rPr>
            </w:pPr>
            <w:r>
              <w:rPr>
                <w:rFonts w:hint="eastAsia"/>
                <w:spacing w:val="0"/>
                <w:sz w:val="24"/>
                <w:szCs w:val="24"/>
              </w:rPr>
              <w:t>近两年发生1次扣3分。</w:t>
            </w:r>
          </w:p>
        </w:tc>
      </w:tr>
    </w:tbl>
    <w:p>
      <w:pPr>
        <w:overflowPunct w:val="0"/>
        <w:topLinePunct/>
        <w:spacing w:after="120"/>
        <w:rPr>
          <w:spacing w:val="0"/>
          <w:szCs w:val="22"/>
        </w:rPr>
      </w:pPr>
    </w:p>
    <w:p>
      <w:pPr>
        <w:overflowPunct w:val="0"/>
        <w:topLinePunct/>
        <w:adjustRightInd w:val="0"/>
        <w:snapToGrid w:val="0"/>
        <w:jc w:val="left"/>
        <w:rPr>
          <w:rFonts w:eastAsia="黑体" w:cs="黑体"/>
          <w:spacing w:val="0"/>
          <w:szCs w:val="32"/>
        </w:rPr>
      </w:pPr>
    </w:p>
    <w:p>
      <w:pPr>
        <w:overflowPunct w:val="0"/>
        <w:topLinePunct/>
        <w:adjustRightInd w:val="0"/>
        <w:snapToGrid w:val="0"/>
        <w:jc w:val="left"/>
        <w:rPr>
          <w:rFonts w:eastAsia="黑体" w:cs="黑体"/>
          <w:spacing w:val="0"/>
          <w:szCs w:val="32"/>
        </w:rPr>
        <w:sectPr>
          <w:headerReference r:id="rId7" w:type="default"/>
          <w:footerReference r:id="rId9" w:type="default"/>
          <w:headerReference r:id="rId8" w:type="even"/>
          <w:footerReference r:id="rId10" w:type="even"/>
          <w:pgSz w:w="16838" w:h="11906" w:orient="landscape"/>
          <w:pgMar w:top="1588" w:right="2098" w:bottom="1474" w:left="1247" w:header="851" w:footer="992" w:gutter="0"/>
          <w:cols w:space="0" w:num="1"/>
          <w:docGrid w:type="linesAndChars" w:linePitch="435" w:charSpace="0"/>
        </w:sectPr>
      </w:pPr>
    </w:p>
    <w:p>
      <w:pPr>
        <w:overflowPunct w:val="0"/>
        <w:topLinePunct/>
        <w:adjustRightInd w:val="0"/>
        <w:snapToGrid w:val="0"/>
        <w:spacing w:line="600" w:lineRule="exact"/>
        <w:jc w:val="left"/>
        <w:rPr>
          <w:rFonts w:eastAsia="黑体" w:cs="黑体"/>
          <w:spacing w:val="0"/>
          <w:szCs w:val="32"/>
        </w:rPr>
      </w:pPr>
      <w:r>
        <w:rPr>
          <w:rFonts w:hint="eastAsia" w:eastAsia="黑体" w:cs="黑体"/>
          <w:spacing w:val="0"/>
          <w:szCs w:val="32"/>
        </w:rPr>
        <w:t>附表</w:t>
      </w:r>
      <w:r>
        <w:rPr>
          <w:rFonts w:eastAsia="黑体" w:cs="黑体"/>
          <w:spacing w:val="0"/>
          <w:szCs w:val="32"/>
        </w:rPr>
        <w:t>2</w:t>
      </w:r>
    </w:p>
    <w:p>
      <w:pPr>
        <w:overflowPunct w:val="0"/>
        <w:topLinePunct/>
        <w:spacing w:line="600" w:lineRule="exact"/>
        <w:rPr>
          <w:rFonts w:eastAsia="宋体" w:cs="Courier New"/>
          <w:spacing w:val="0"/>
          <w:sz w:val="21"/>
          <w:szCs w:val="21"/>
        </w:rPr>
      </w:pPr>
    </w:p>
    <w:p>
      <w:pPr>
        <w:overflowPunct w:val="0"/>
        <w:topLinePunct/>
        <w:adjustRightInd w:val="0"/>
        <w:snapToGrid w:val="0"/>
        <w:spacing w:line="600" w:lineRule="exact"/>
        <w:jc w:val="center"/>
        <w:rPr>
          <w:rFonts w:eastAsia="方正小标宋简体" w:cs="方正小标宋简体"/>
          <w:spacing w:val="0"/>
          <w:sz w:val="44"/>
          <w:szCs w:val="44"/>
        </w:rPr>
      </w:pPr>
      <w:r>
        <w:rPr>
          <w:rFonts w:hint="eastAsia" w:eastAsia="方正小标宋简体" w:cs="方正小标宋简体"/>
          <w:spacing w:val="0"/>
          <w:sz w:val="44"/>
          <w:szCs w:val="44"/>
        </w:rPr>
        <w:t>农村生活污水治理成效评估等级划分表</w:t>
      </w:r>
    </w:p>
    <w:p>
      <w:pPr>
        <w:overflowPunct w:val="0"/>
        <w:topLinePunct/>
        <w:adjustRightInd w:val="0"/>
        <w:snapToGrid w:val="0"/>
        <w:spacing w:line="600" w:lineRule="exact"/>
        <w:jc w:val="center"/>
        <w:rPr>
          <w:spacing w:val="0"/>
          <w:sz w:val="44"/>
          <w:szCs w:val="44"/>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1410"/>
        <w:gridCol w:w="2910"/>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794" w:type="pct"/>
            <w:vAlign w:val="center"/>
          </w:tcPr>
          <w:p>
            <w:pPr>
              <w:overflowPunct w:val="0"/>
              <w:topLinePunct/>
              <w:spacing w:line="400" w:lineRule="exact"/>
              <w:jc w:val="center"/>
              <w:rPr>
                <w:rFonts w:eastAsia="黑体" w:cs="黑体"/>
                <w:spacing w:val="0"/>
                <w:sz w:val="28"/>
              </w:rPr>
            </w:pPr>
            <w:r>
              <w:rPr>
                <w:rFonts w:eastAsia="黑体" w:cs="黑体"/>
                <w:spacing w:val="0"/>
                <w:sz w:val="28"/>
                <w:szCs w:val="24"/>
              </w:rPr>
              <w:t>序号</w:t>
            </w:r>
          </w:p>
        </w:tc>
        <w:tc>
          <w:tcPr>
            <w:tcW w:w="1639" w:type="pct"/>
            <w:vAlign w:val="center"/>
          </w:tcPr>
          <w:p>
            <w:pPr>
              <w:overflowPunct w:val="0"/>
              <w:topLinePunct/>
              <w:spacing w:line="400" w:lineRule="exact"/>
              <w:jc w:val="center"/>
              <w:rPr>
                <w:rFonts w:eastAsia="黑体" w:cs="黑体"/>
                <w:spacing w:val="0"/>
                <w:sz w:val="28"/>
              </w:rPr>
            </w:pPr>
            <w:r>
              <w:rPr>
                <w:rFonts w:eastAsia="黑体" w:cs="黑体"/>
                <w:spacing w:val="0"/>
                <w:sz w:val="28"/>
                <w:szCs w:val="24"/>
              </w:rPr>
              <w:t>成</w:t>
            </w:r>
            <w:r>
              <w:rPr>
                <w:rFonts w:eastAsia="黑体" w:cs="黑体"/>
                <w:spacing w:val="0"/>
                <w:sz w:val="28"/>
              </w:rPr>
              <w:t>效评估得分</w:t>
            </w:r>
          </w:p>
        </w:tc>
        <w:tc>
          <w:tcPr>
            <w:tcW w:w="2567" w:type="pct"/>
            <w:vAlign w:val="center"/>
          </w:tcPr>
          <w:p>
            <w:pPr>
              <w:overflowPunct w:val="0"/>
              <w:topLinePunct/>
              <w:spacing w:line="400" w:lineRule="exact"/>
              <w:jc w:val="center"/>
              <w:rPr>
                <w:rFonts w:eastAsia="黑体" w:cs="黑体"/>
                <w:spacing w:val="0"/>
                <w:sz w:val="28"/>
              </w:rPr>
            </w:pPr>
            <w:r>
              <w:rPr>
                <w:rFonts w:eastAsia="黑体" w:cs="黑体"/>
                <w:spacing w:val="0"/>
                <w:sz w:val="2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794" w:type="pct"/>
            <w:vAlign w:val="center"/>
          </w:tcPr>
          <w:p>
            <w:pPr>
              <w:overflowPunct w:val="0"/>
              <w:topLinePunct/>
              <w:adjustRightInd w:val="0"/>
              <w:snapToGrid w:val="0"/>
              <w:spacing w:line="400" w:lineRule="exact"/>
              <w:jc w:val="center"/>
              <w:rPr>
                <w:spacing w:val="0"/>
                <w:sz w:val="28"/>
                <w:szCs w:val="24"/>
              </w:rPr>
            </w:pPr>
            <w:r>
              <w:rPr>
                <w:spacing w:val="0"/>
                <w:sz w:val="28"/>
                <w:szCs w:val="24"/>
              </w:rPr>
              <w:t>1</w:t>
            </w:r>
          </w:p>
        </w:tc>
        <w:tc>
          <w:tcPr>
            <w:tcW w:w="1639" w:type="pct"/>
            <w:vAlign w:val="center"/>
          </w:tcPr>
          <w:p>
            <w:pPr>
              <w:overflowPunct w:val="0"/>
              <w:topLinePunct/>
              <w:adjustRightInd w:val="0"/>
              <w:snapToGrid w:val="0"/>
              <w:spacing w:line="400" w:lineRule="exact"/>
              <w:jc w:val="center"/>
              <w:rPr>
                <w:spacing w:val="0"/>
                <w:sz w:val="28"/>
                <w:szCs w:val="24"/>
              </w:rPr>
            </w:pPr>
            <w:r>
              <w:rPr>
                <w:spacing w:val="0"/>
                <w:sz w:val="28"/>
                <w:szCs w:val="24"/>
              </w:rPr>
              <w:t>≥90</w:t>
            </w:r>
          </w:p>
        </w:tc>
        <w:tc>
          <w:tcPr>
            <w:tcW w:w="2567" w:type="pct"/>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794" w:type="pct"/>
            <w:vAlign w:val="center"/>
          </w:tcPr>
          <w:p>
            <w:pPr>
              <w:overflowPunct w:val="0"/>
              <w:topLinePunct/>
              <w:adjustRightInd w:val="0"/>
              <w:snapToGrid w:val="0"/>
              <w:spacing w:line="400" w:lineRule="exact"/>
              <w:jc w:val="center"/>
              <w:rPr>
                <w:spacing w:val="0"/>
                <w:sz w:val="28"/>
                <w:szCs w:val="24"/>
              </w:rPr>
            </w:pPr>
            <w:r>
              <w:rPr>
                <w:spacing w:val="0"/>
                <w:sz w:val="28"/>
                <w:szCs w:val="24"/>
              </w:rPr>
              <w:t>2</w:t>
            </w:r>
          </w:p>
        </w:tc>
        <w:tc>
          <w:tcPr>
            <w:tcW w:w="1639" w:type="pct"/>
            <w:vAlign w:val="center"/>
          </w:tcPr>
          <w:p>
            <w:pPr>
              <w:overflowPunct w:val="0"/>
              <w:topLinePunct/>
              <w:adjustRightInd w:val="0"/>
              <w:snapToGrid w:val="0"/>
              <w:spacing w:line="400" w:lineRule="exact"/>
              <w:jc w:val="center"/>
              <w:rPr>
                <w:spacing w:val="0"/>
                <w:sz w:val="28"/>
                <w:szCs w:val="24"/>
              </w:rPr>
            </w:pPr>
            <w:r>
              <w:rPr>
                <w:spacing w:val="0"/>
                <w:sz w:val="28"/>
                <w:szCs w:val="24"/>
              </w:rPr>
              <w:t>80≤F＜90</w:t>
            </w:r>
          </w:p>
        </w:tc>
        <w:tc>
          <w:tcPr>
            <w:tcW w:w="2567" w:type="pct"/>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794" w:type="pct"/>
            <w:vAlign w:val="center"/>
          </w:tcPr>
          <w:p>
            <w:pPr>
              <w:overflowPunct w:val="0"/>
              <w:topLinePunct/>
              <w:adjustRightInd w:val="0"/>
              <w:snapToGrid w:val="0"/>
              <w:spacing w:line="400" w:lineRule="exact"/>
              <w:jc w:val="center"/>
              <w:rPr>
                <w:spacing w:val="0"/>
                <w:sz w:val="28"/>
                <w:szCs w:val="24"/>
              </w:rPr>
            </w:pPr>
            <w:r>
              <w:rPr>
                <w:spacing w:val="0"/>
                <w:sz w:val="28"/>
                <w:szCs w:val="24"/>
              </w:rPr>
              <w:t>3</w:t>
            </w:r>
          </w:p>
        </w:tc>
        <w:tc>
          <w:tcPr>
            <w:tcW w:w="1639" w:type="pct"/>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6</w:t>
            </w:r>
            <w:r>
              <w:rPr>
                <w:spacing w:val="0"/>
                <w:sz w:val="28"/>
                <w:szCs w:val="24"/>
              </w:rPr>
              <w:t>0≤F＜80</w:t>
            </w:r>
          </w:p>
        </w:tc>
        <w:tc>
          <w:tcPr>
            <w:tcW w:w="2567" w:type="pct"/>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794" w:type="pct"/>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4</w:t>
            </w:r>
          </w:p>
        </w:tc>
        <w:tc>
          <w:tcPr>
            <w:tcW w:w="1639" w:type="pct"/>
            <w:vAlign w:val="center"/>
          </w:tcPr>
          <w:p>
            <w:pPr>
              <w:overflowPunct w:val="0"/>
              <w:topLinePunct/>
              <w:adjustRightInd w:val="0"/>
              <w:snapToGrid w:val="0"/>
              <w:spacing w:line="400" w:lineRule="exact"/>
              <w:jc w:val="center"/>
              <w:rPr>
                <w:spacing w:val="0"/>
                <w:sz w:val="28"/>
                <w:szCs w:val="24"/>
              </w:rPr>
            </w:pPr>
            <w:r>
              <w:rPr>
                <w:spacing w:val="0"/>
                <w:sz w:val="28"/>
                <w:szCs w:val="24"/>
              </w:rPr>
              <w:t>F＜60</w:t>
            </w:r>
          </w:p>
        </w:tc>
        <w:tc>
          <w:tcPr>
            <w:tcW w:w="2567" w:type="pct"/>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不合格</w:t>
            </w:r>
          </w:p>
        </w:tc>
      </w:tr>
    </w:tbl>
    <w:p>
      <w:pPr>
        <w:overflowPunct w:val="0"/>
        <w:topLinePunct/>
        <w:adjustRightInd w:val="0"/>
        <w:snapToGrid w:val="0"/>
        <w:spacing w:line="600" w:lineRule="exact"/>
        <w:ind w:left="560" w:hanging="560" w:hangingChars="200"/>
        <w:rPr>
          <w:spacing w:val="0"/>
          <w:sz w:val="28"/>
          <w:szCs w:val="24"/>
        </w:rPr>
      </w:pPr>
      <w:r>
        <w:rPr>
          <w:rFonts w:hint="eastAsia"/>
          <w:spacing w:val="0"/>
          <w:sz w:val="28"/>
          <w:szCs w:val="24"/>
        </w:rPr>
        <w:t>注：（1）农村生活污水治理成效评估等级分为“优秀”“良好”“合格”“不合格”四个等级；</w:t>
      </w:r>
    </w:p>
    <w:p>
      <w:pPr>
        <w:overflowPunct w:val="0"/>
        <w:topLinePunct/>
        <w:adjustRightInd w:val="0"/>
        <w:snapToGrid w:val="0"/>
        <w:spacing w:line="600" w:lineRule="exact"/>
        <w:ind w:left="616" w:leftChars="200"/>
        <w:rPr>
          <w:spacing w:val="0"/>
          <w:sz w:val="28"/>
        </w:rPr>
      </w:pPr>
      <w:r>
        <w:rPr>
          <w:rFonts w:hint="eastAsia"/>
          <w:spacing w:val="0"/>
          <w:sz w:val="28"/>
          <w:szCs w:val="24"/>
        </w:rPr>
        <w:t>（2）结合表1评分结果对评估县（市、区）农村生活污水治理成效进行评级。</w:t>
      </w:r>
    </w:p>
    <w:p>
      <w:pPr>
        <w:overflowPunct w:val="0"/>
        <w:topLinePunct/>
        <w:spacing w:line="600" w:lineRule="exact"/>
        <w:rPr>
          <w:spacing w:val="0"/>
          <w:sz w:val="24"/>
        </w:rPr>
      </w:pPr>
    </w:p>
    <w:p>
      <w:pPr>
        <w:overflowPunct w:val="0"/>
        <w:topLinePunct/>
        <w:spacing w:line="600" w:lineRule="exact"/>
        <w:jc w:val="left"/>
        <w:rPr>
          <w:spacing w:val="0"/>
          <w:sz w:val="24"/>
        </w:rPr>
      </w:pPr>
      <w:r>
        <w:rPr>
          <w:spacing w:val="0"/>
          <w:sz w:val="24"/>
        </w:rPr>
        <w:br w:type="page"/>
      </w:r>
    </w:p>
    <w:p>
      <w:pPr>
        <w:overflowPunct w:val="0"/>
        <w:topLinePunct/>
        <w:adjustRightInd w:val="0"/>
        <w:snapToGrid w:val="0"/>
        <w:spacing w:line="600" w:lineRule="exact"/>
        <w:jc w:val="left"/>
        <w:rPr>
          <w:rFonts w:eastAsia="黑体" w:cs="黑体"/>
          <w:spacing w:val="0"/>
          <w:szCs w:val="32"/>
        </w:rPr>
      </w:pPr>
      <w:r>
        <w:rPr>
          <w:rFonts w:hint="eastAsia" w:eastAsia="黑体" w:cs="黑体"/>
          <w:spacing w:val="0"/>
          <w:szCs w:val="32"/>
        </w:rPr>
        <w:t>附表</w:t>
      </w:r>
      <w:r>
        <w:rPr>
          <w:rFonts w:eastAsia="黑体" w:cs="黑体"/>
          <w:spacing w:val="0"/>
          <w:szCs w:val="32"/>
        </w:rPr>
        <w:t>3</w:t>
      </w:r>
    </w:p>
    <w:p>
      <w:pPr>
        <w:overflowPunct w:val="0"/>
        <w:topLinePunct/>
        <w:spacing w:line="600" w:lineRule="exact"/>
        <w:rPr>
          <w:rFonts w:eastAsia="宋体" w:cs="Courier New"/>
          <w:spacing w:val="0"/>
          <w:sz w:val="21"/>
          <w:szCs w:val="21"/>
        </w:rPr>
      </w:pPr>
    </w:p>
    <w:p>
      <w:pPr>
        <w:overflowPunct w:val="0"/>
        <w:topLinePunct/>
        <w:adjustRightInd w:val="0"/>
        <w:snapToGrid w:val="0"/>
        <w:spacing w:line="600" w:lineRule="exact"/>
        <w:jc w:val="center"/>
        <w:rPr>
          <w:rFonts w:eastAsia="方正小标宋简体" w:cs="方正小标宋简体"/>
          <w:spacing w:val="0"/>
          <w:sz w:val="44"/>
          <w:szCs w:val="44"/>
        </w:rPr>
      </w:pPr>
      <w:r>
        <w:rPr>
          <w:rFonts w:hint="eastAsia" w:eastAsia="方正小标宋简体" w:cs="方正小标宋简体"/>
          <w:spacing w:val="0"/>
          <w:sz w:val="44"/>
          <w:szCs w:val="44"/>
        </w:rPr>
        <w:t>农村生活污水治理成效现场评估村庄数量表</w:t>
      </w:r>
    </w:p>
    <w:p>
      <w:pPr>
        <w:overflowPunct w:val="0"/>
        <w:topLinePunct/>
        <w:adjustRightInd w:val="0"/>
        <w:snapToGrid w:val="0"/>
        <w:spacing w:line="600" w:lineRule="exact"/>
        <w:jc w:val="center"/>
        <w:rPr>
          <w:rFonts w:eastAsia="方正小标宋简体"/>
          <w:spacing w:val="0"/>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221"/>
        <w:gridCol w:w="4104"/>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221" w:type="dxa"/>
            <w:vAlign w:val="center"/>
          </w:tcPr>
          <w:p>
            <w:pPr>
              <w:overflowPunct w:val="0"/>
              <w:topLinePunct/>
              <w:spacing w:line="400" w:lineRule="exact"/>
              <w:jc w:val="center"/>
              <w:rPr>
                <w:rFonts w:eastAsia="黑体" w:cs="黑体"/>
                <w:spacing w:val="0"/>
                <w:sz w:val="28"/>
              </w:rPr>
            </w:pPr>
            <w:r>
              <w:rPr>
                <w:rFonts w:eastAsia="黑体" w:cs="黑体"/>
                <w:spacing w:val="0"/>
                <w:sz w:val="28"/>
                <w:szCs w:val="24"/>
              </w:rPr>
              <w:t>序号</w:t>
            </w:r>
          </w:p>
        </w:tc>
        <w:tc>
          <w:tcPr>
            <w:tcW w:w="4104" w:type="dxa"/>
            <w:vAlign w:val="center"/>
          </w:tcPr>
          <w:p>
            <w:pPr>
              <w:overflowPunct w:val="0"/>
              <w:topLinePunct/>
              <w:spacing w:line="400" w:lineRule="exact"/>
              <w:jc w:val="center"/>
              <w:rPr>
                <w:rFonts w:eastAsia="黑体" w:cs="黑体"/>
                <w:spacing w:val="0"/>
                <w:sz w:val="28"/>
                <w:szCs w:val="24"/>
              </w:rPr>
            </w:pPr>
            <w:r>
              <w:rPr>
                <w:rFonts w:hint="eastAsia" w:eastAsia="黑体" w:cs="黑体"/>
                <w:spacing w:val="0"/>
                <w:sz w:val="28"/>
                <w:szCs w:val="24"/>
              </w:rPr>
              <w:t>县（市、区）已完成农村生活</w:t>
            </w:r>
          </w:p>
          <w:p>
            <w:pPr>
              <w:overflowPunct w:val="0"/>
              <w:topLinePunct/>
              <w:spacing w:line="400" w:lineRule="exact"/>
              <w:jc w:val="center"/>
              <w:rPr>
                <w:rFonts w:eastAsia="黑体" w:cs="黑体"/>
                <w:spacing w:val="0"/>
                <w:sz w:val="28"/>
                <w:szCs w:val="24"/>
              </w:rPr>
            </w:pPr>
            <w:r>
              <w:rPr>
                <w:rFonts w:hint="eastAsia" w:eastAsia="黑体" w:cs="黑体"/>
                <w:spacing w:val="0"/>
                <w:sz w:val="28"/>
                <w:szCs w:val="24"/>
              </w:rPr>
              <w:t>污水治理的行政村（涉农社区）总数</w:t>
            </w:r>
            <w:r>
              <w:rPr>
                <w:rFonts w:eastAsia="黑体"/>
                <w:spacing w:val="0"/>
                <w:sz w:val="28"/>
                <w:szCs w:val="24"/>
              </w:rPr>
              <w:t>Q</w:t>
            </w:r>
            <w:r>
              <w:rPr>
                <w:rFonts w:eastAsia="黑体" w:cs="黑体"/>
                <w:spacing w:val="0"/>
                <w:sz w:val="28"/>
                <w:szCs w:val="24"/>
              </w:rPr>
              <w:t>（个）</w:t>
            </w:r>
          </w:p>
        </w:tc>
        <w:tc>
          <w:tcPr>
            <w:tcW w:w="3509" w:type="dxa"/>
            <w:vAlign w:val="center"/>
          </w:tcPr>
          <w:p>
            <w:pPr>
              <w:overflowPunct w:val="0"/>
              <w:topLinePunct/>
              <w:spacing w:line="400" w:lineRule="exact"/>
              <w:jc w:val="center"/>
              <w:rPr>
                <w:rFonts w:eastAsia="黑体" w:cs="黑体"/>
                <w:spacing w:val="0"/>
                <w:sz w:val="28"/>
                <w:szCs w:val="24"/>
              </w:rPr>
            </w:pPr>
            <w:r>
              <w:rPr>
                <w:rFonts w:hint="eastAsia" w:eastAsia="黑体" w:cs="黑体"/>
                <w:spacing w:val="0"/>
                <w:sz w:val="28"/>
                <w:szCs w:val="24"/>
              </w:rPr>
              <w:t>开展现场评估的行政村</w:t>
            </w:r>
          </w:p>
          <w:p>
            <w:pPr>
              <w:overflowPunct w:val="0"/>
              <w:topLinePunct/>
              <w:spacing w:line="400" w:lineRule="exact"/>
              <w:jc w:val="center"/>
              <w:rPr>
                <w:rFonts w:eastAsia="黑体" w:cs="黑体"/>
                <w:spacing w:val="0"/>
                <w:sz w:val="28"/>
                <w:szCs w:val="24"/>
              </w:rPr>
            </w:pPr>
            <w:r>
              <w:rPr>
                <w:rFonts w:hint="eastAsia" w:eastAsia="黑体" w:cs="黑体"/>
                <w:spacing w:val="0"/>
                <w:sz w:val="28"/>
                <w:szCs w:val="24"/>
              </w:rPr>
              <w:t>（涉农社区）数量（个）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221" w:type="dxa"/>
            <w:vAlign w:val="center"/>
          </w:tcPr>
          <w:p>
            <w:pPr>
              <w:overflowPunct w:val="0"/>
              <w:topLinePunct/>
              <w:adjustRightInd w:val="0"/>
              <w:snapToGrid w:val="0"/>
              <w:spacing w:line="400" w:lineRule="exact"/>
              <w:jc w:val="center"/>
              <w:rPr>
                <w:spacing w:val="0"/>
                <w:sz w:val="28"/>
                <w:szCs w:val="24"/>
              </w:rPr>
            </w:pPr>
            <w:r>
              <w:rPr>
                <w:spacing w:val="0"/>
                <w:sz w:val="28"/>
                <w:szCs w:val="24"/>
              </w:rPr>
              <w:t>1</w:t>
            </w:r>
          </w:p>
        </w:tc>
        <w:tc>
          <w:tcPr>
            <w:tcW w:w="4104"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Q</w:t>
            </w:r>
            <w:r>
              <w:rPr>
                <w:spacing w:val="0"/>
                <w:sz w:val="28"/>
                <w:szCs w:val="24"/>
              </w:rPr>
              <w:t>＜</w:t>
            </w:r>
            <w:r>
              <w:rPr>
                <w:rFonts w:hint="eastAsia"/>
                <w:spacing w:val="0"/>
                <w:sz w:val="28"/>
                <w:szCs w:val="24"/>
              </w:rPr>
              <w:t>10</w:t>
            </w:r>
            <w:r>
              <w:rPr>
                <w:spacing w:val="0"/>
                <w:sz w:val="28"/>
                <w:szCs w:val="24"/>
              </w:rPr>
              <w:t>0</w:t>
            </w:r>
          </w:p>
        </w:tc>
        <w:tc>
          <w:tcPr>
            <w:tcW w:w="3509"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221" w:type="dxa"/>
            <w:vAlign w:val="center"/>
          </w:tcPr>
          <w:p>
            <w:pPr>
              <w:overflowPunct w:val="0"/>
              <w:topLinePunct/>
              <w:adjustRightInd w:val="0"/>
              <w:snapToGrid w:val="0"/>
              <w:spacing w:line="400" w:lineRule="exact"/>
              <w:jc w:val="center"/>
              <w:rPr>
                <w:spacing w:val="0"/>
                <w:sz w:val="28"/>
                <w:szCs w:val="24"/>
              </w:rPr>
            </w:pPr>
            <w:r>
              <w:rPr>
                <w:spacing w:val="0"/>
                <w:sz w:val="28"/>
                <w:szCs w:val="24"/>
              </w:rPr>
              <w:t>2</w:t>
            </w:r>
          </w:p>
        </w:tc>
        <w:tc>
          <w:tcPr>
            <w:tcW w:w="4104"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100</w:t>
            </w:r>
            <w:r>
              <w:rPr>
                <w:spacing w:val="0"/>
                <w:sz w:val="28"/>
                <w:szCs w:val="24"/>
              </w:rPr>
              <w:t>≤</w:t>
            </w:r>
            <w:r>
              <w:rPr>
                <w:rFonts w:hint="eastAsia"/>
                <w:spacing w:val="0"/>
                <w:sz w:val="28"/>
                <w:szCs w:val="24"/>
              </w:rPr>
              <w:t>Q</w:t>
            </w:r>
            <w:r>
              <w:rPr>
                <w:spacing w:val="0"/>
                <w:sz w:val="28"/>
                <w:szCs w:val="24"/>
              </w:rPr>
              <w:t>＜</w:t>
            </w:r>
            <w:r>
              <w:rPr>
                <w:rFonts w:hint="eastAsia"/>
                <w:spacing w:val="0"/>
                <w:sz w:val="28"/>
                <w:szCs w:val="24"/>
              </w:rPr>
              <w:t>20</w:t>
            </w:r>
            <w:r>
              <w:rPr>
                <w:spacing w:val="0"/>
                <w:sz w:val="28"/>
                <w:szCs w:val="24"/>
              </w:rPr>
              <w:t>0</w:t>
            </w:r>
          </w:p>
        </w:tc>
        <w:tc>
          <w:tcPr>
            <w:tcW w:w="3509"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1</w:t>
            </w:r>
            <w:r>
              <w:rPr>
                <w:spacing w:val="0"/>
                <w:sz w:val="28"/>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221" w:type="dxa"/>
            <w:vAlign w:val="center"/>
          </w:tcPr>
          <w:p>
            <w:pPr>
              <w:overflowPunct w:val="0"/>
              <w:topLinePunct/>
              <w:adjustRightInd w:val="0"/>
              <w:snapToGrid w:val="0"/>
              <w:spacing w:line="400" w:lineRule="exact"/>
              <w:jc w:val="center"/>
              <w:rPr>
                <w:spacing w:val="0"/>
                <w:sz w:val="28"/>
                <w:szCs w:val="24"/>
              </w:rPr>
            </w:pPr>
            <w:r>
              <w:rPr>
                <w:spacing w:val="0"/>
                <w:sz w:val="28"/>
                <w:szCs w:val="24"/>
              </w:rPr>
              <w:t>3</w:t>
            </w:r>
          </w:p>
        </w:tc>
        <w:tc>
          <w:tcPr>
            <w:tcW w:w="4104"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20</w:t>
            </w:r>
            <w:r>
              <w:rPr>
                <w:spacing w:val="0"/>
                <w:sz w:val="28"/>
                <w:szCs w:val="24"/>
              </w:rPr>
              <w:t>0≤</w:t>
            </w:r>
            <w:r>
              <w:rPr>
                <w:rFonts w:hint="eastAsia"/>
                <w:spacing w:val="0"/>
                <w:sz w:val="28"/>
                <w:szCs w:val="24"/>
              </w:rPr>
              <w:t>Q</w:t>
            </w:r>
            <w:r>
              <w:rPr>
                <w:spacing w:val="0"/>
                <w:sz w:val="28"/>
                <w:szCs w:val="24"/>
              </w:rPr>
              <w:t>＜</w:t>
            </w:r>
            <w:r>
              <w:rPr>
                <w:rFonts w:hint="eastAsia"/>
                <w:spacing w:val="0"/>
                <w:sz w:val="28"/>
                <w:szCs w:val="24"/>
              </w:rPr>
              <w:t>30</w:t>
            </w:r>
            <w:r>
              <w:rPr>
                <w:spacing w:val="0"/>
                <w:sz w:val="28"/>
                <w:szCs w:val="24"/>
              </w:rPr>
              <w:t>0</w:t>
            </w:r>
          </w:p>
        </w:tc>
        <w:tc>
          <w:tcPr>
            <w:tcW w:w="3509"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2</w:t>
            </w:r>
            <w:r>
              <w:rPr>
                <w:spacing w:val="0"/>
                <w:sz w:val="28"/>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221"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4</w:t>
            </w:r>
          </w:p>
        </w:tc>
        <w:tc>
          <w:tcPr>
            <w:tcW w:w="4104"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30</w:t>
            </w:r>
            <w:r>
              <w:rPr>
                <w:spacing w:val="0"/>
                <w:sz w:val="28"/>
                <w:szCs w:val="24"/>
              </w:rPr>
              <w:t>0≤</w:t>
            </w:r>
            <w:r>
              <w:rPr>
                <w:rFonts w:hint="eastAsia"/>
                <w:spacing w:val="0"/>
                <w:sz w:val="28"/>
                <w:szCs w:val="24"/>
              </w:rPr>
              <w:t>Q</w:t>
            </w:r>
          </w:p>
        </w:tc>
        <w:tc>
          <w:tcPr>
            <w:tcW w:w="3509" w:type="dxa"/>
            <w:vAlign w:val="center"/>
          </w:tcPr>
          <w:p>
            <w:pPr>
              <w:overflowPunct w:val="0"/>
              <w:topLinePunct/>
              <w:adjustRightInd w:val="0"/>
              <w:snapToGrid w:val="0"/>
              <w:spacing w:line="400" w:lineRule="exact"/>
              <w:jc w:val="center"/>
              <w:rPr>
                <w:spacing w:val="0"/>
                <w:sz w:val="28"/>
                <w:szCs w:val="24"/>
              </w:rPr>
            </w:pPr>
            <w:r>
              <w:rPr>
                <w:rFonts w:hint="eastAsia"/>
                <w:spacing w:val="0"/>
                <w:sz w:val="28"/>
                <w:szCs w:val="24"/>
              </w:rPr>
              <w:t>2</w:t>
            </w:r>
            <w:r>
              <w:rPr>
                <w:spacing w:val="0"/>
                <w:sz w:val="28"/>
                <w:szCs w:val="24"/>
              </w:rPr>
              <w:t>5</w:t>
            </w:r>
          </w:p>
        </w:tc>
      </w:tr>
    </w:tbl>
    <w:p>
      <w:pPr>
        <w:overflowPunct w:val="0"/>
        <w:topLinePunct/>
        <w:adjustRightInd w:val="0"/>
        <w:snapToGrid w:val="0"/>
        <w:spacing w:line="600" w:lineRule="exact"/>
        <w:ind w:left="560" w:hanging="560" w:hangingChars="200"/>
        <w:rPr>
          <w:spacing w:val="0"/>
          <w:sz w:val="28"/>
          <w:szCs w:val="24"/>
        </w:rPr>
      </w:pPr>
      <w:r>
        <w:rPr>
          <w:rFonts w:hint="eastAsia"/>
          <w:spacing w:val="0"/>
          <w:sz w:val="28"/>
          <w:szCs w:val="24"/>
        </w:rPr>
        <w:t>注：（1）抽取开展现场评估的行政村（涉农社区）中，50%以上的行政村（涉农社区）生活污水治理完成时间应超过5年；</w:t>
      </w:r>
    </w:p>
    <w:p>
      <w:pPr>
        <w:overflowPunct w:val="0"/>
        <w:topLinePunct/>
        <w:adjustRightInd w:val="0"/>
        <w:snapToGrid w:val="0"/>
        <w:spacing w:line="600" w:lineRule="exact"/>
        <w:ind w:left="616" w:leftChars="200"/>
        <w:rPr>
          <w:spacing w:val="0"/>
          <w:sz w:val="28"/>
          <w:szCs w:val="24"/>
        </w:rPr>
      </w:pPr>
      <w:r>
        <w:rPr>
          <w:rFonts w:hint="eastAsia"/>
          <w:spacing w:val="0"/>
          <w:sz w:val="28"/>
          <w:szCs w:val="24"/>
        </w:rPr>
        <w:t>（2）相邻两个评估期开展评估时，</w:t>
      </w:r>
      <w:r>
        <w:rPr>
          <w:spacing w:val="0"/>
          <w:sz w:val="28"/>
          <w:szCs w:val="24"/>
        </w:rPr>
        <w:t>开展现场</w:t>
      </w:r>
      <w:r>
        <w:rPr>
          <w:rFonts w:hint="eastAsia"/>
          <w:spacing w:val="0"/>
          <w:sz w:val="28"/>
          <w:szCs w:val="24"/>
        </w:rPr>
        <w:t>评估的行政村（涉农社区）重复率应小于50%。</w:t>
      </w:r>
    </w:p>
    <w:p>
      <w:pPr>
        <w:overflowPunct w:val="0"/>
        <w:topLinePunct/>
        <w:adjustRightInd w:val="0"/>
        <w:snapToGrid w:val="0"/>
        <w:spacing w:line="600" w:lineRule="exact"/>
        <w:ind w:left="474" w:leftChars="154"/>
        <w:rPr>
          <w:spacing w:val="0"/>
          <w:sz w:val="24"/>
          <w:szCs w:val="24"/>
        </w:rPr>
      </w:pPr>
    </w:p>
    <w:p>
      <w:pPr>
        <w:overflowPunct w:val="0"/>
        <w:topLinePunct/>
        <w:adjustRightInd w:val="0"/>
        <w:snapToGrid w:val="0"/>
        <w:spacing w:line="600" w:lineRule="exact"/>
        <w:ind w:left="474" w:leftChars="154"/>
        <w:rPr>
          <w:spacing w:val="0"/>
          <w:sz w:val="24"/>
          <w:szCs w:val="24"/>
        </w:rPr>
      </w:pPr>
    </w:p>
    <w:p>
      <w:pPr>
        <w:overflowPunct w:val="0"/>
        <w:topLinePunct/>
        <w:adjustRightInd w:val="0"/>
        <w:snapToGrid w:val="0"/>
        <w:spacing w:line="600" w:lineRule="exact"/>
        <w:ind w:left="474" w:leftChars="154"/>
        <w:rPr>
          <w:spacing w:val="0"/>
          <w:sz w:val="24"/>
          <w:szCs w:val="24"/>
        </w:rPr>
      </w:pPr>
    </w:p>
    <w:p>
      <w:pPr>
        <w:overflowPunct w:val="0"/>
        <w:topLinePunct/>
        <w:spacing w:line="600" w:lineRule="exact"/>
        <w:jc w:val="left"/>
        <w:rPr>
          <w:spacing w:val="0"/>
          <w:sz w:val="24"/>
          <w:szCs w:val="24"/>
        </w:rPr>
      </w:pPr>
      <w:r>
        <w:rPr>
          <w:spacing w:val="0"/>
          <w:sz w:val="24"/>
          <w:szCs w:val="24"/>
        </w:rPr>
        <w:br w:type="page"/>
      </w:r>
    </w:p>
    <w:p>
      <w:pPr>
        <w:overflowPunct w:val="0"/>
        <w:topLinePunct/>
        <w:adjustRightInd w:val="0"/>
        <w:snapToGrid w:val="0"/>
        <w:spacing w:line="600" w:lineRule="exact"/>
        <w:jc w:val="left"/>
        <w:rPr>
          <w:rFonts w:eastAsia="黑体" w:cs="黑体"/>
          <w:spacing w:val="0"/>
          <w:szCs w:val="32"/>
        </w:rPr>
      </w:pPr>
      <w:r>
        <w:rPr>
          <w:rFonts w:hint="eastAsia" w:eastAsia="黑体" w:cs="黑体"/>
          <w:spacing w:val="0"/>
          <w:szCs w:val="32"/>
        </w:rPr>
        <w:t>附表4</w:t>
      </w:r>
    </w:p>
    <w:p>
      <w:pPr>
        <w:overflowPunct w:val="0"/>
        <w:topLinePunct/>
        <w:spacing w:line="600" w:lineRule="exact"/>
        <w:rPr>
          <w:rFonts w:eastAsia="宋体" w:cs="Courier New"/>
          <w:spacing w:val="0"/>
          <w:sz w:val="21"/>
          <w:szCs w:val="21"/>
        </w:rPr>
      </w:pPr>
    </w:p>
    <w:p>
      <w:pPr>
        <w:overflowPunct w:val="0"/>
        <w:topLinePunct/>
        <w:adjustRightInd w:val="0"/>
        <w:snapToGrid w:val="0"/>
        <w:spacing w:line="600" w:lineRule="exact"/>
        <w:jc w:val="center"/>
        <w:rPr>
          <w:rFonts w:eastAsia="方正小标宋简体" w:cs="方正小标宋简体"/>
          <w:spacing w:val="0"/>
          <w:sz w:val="44"/>
          <w:szCs w:val="44"/>
        </w:rPr>
      </w:pPr>
      <w:r>
        <w:rPr>
          <w:rFonts w:hint="eastAsia" w:eastAsia="方正小标宋简体" w:cs="方正小标宋简体"/>
          <w:spacing w:val="0"/>
          <w:sz w:val="44"/>
          <w:szCs w:val="44"/>
        </w:rPr>
        <w:t>农村生活污水治理成效村民满意度调查表</w:t>
      </w:r>
    </w:p>
    <w:p>
      <w:pPr>
        <w:overflowPunct w:val="0"/>
        <w:topLinePunct/>
        <w:adjustRightInd w:val="0"/>
        <w:snapToGrid w:val="0"/>
        <w:spacing w:line="600" w:lineRule="exact"/>
        <w:rPr>
          <w:spacing w:val="0"/>
          <w:szCs w:val="32"/>
        </w:rPr>
      </w:pPr>
    </w:p>
    <w:p>
      <w:pPr>
        <w:overflowPunct w:val="0"/>
        <w:topLinePunct/>
        <w:adjustRightInd w:val="0"/>
        <w:snapToGrid w:val="0"/>
        <w:spacing w:line="600" w:lineRule="exact"/>
        <w:rPr>
          <w:spacing w:val="0"/>
          <w:szCs w:val="32"/>
        </w:rPr>
      </w:pPr>
      <w:r>
        <w:rPr>
          <w:spacing w:val="0"/>
          <w:szCs w:val="32"/>
        </w:rPr>
        <w:t>尊敬的先生/女士</w:t>
      </w:r>
      <w:r>
        <w:rPr>
          <w:rFonts w:hint="eastAsia"/>
          <w:spacing w:val="0"/>
          <w:szCs w:val="32"/>
        </w:rPr>
        <w:t>：</w:t>
      </w:r>
    </w:p>
    <w:p>
      <w:pPr>
        <w:overflowPunct w:val="0"/>
        <w:topLinePunct/>
        <w:adjustRightInd w:val="0"/>
        <w:snapToGrid w:val="0"/>
        <w:spacing w:line="600" w:lineRule="exact"/>
        <w:ind w:firstLine="640" w:firstLineChars="200"/>
        <w:rPr>
          <w:spacing w:val="0"/>
          <w:szCs w:val="32"/>
        </w:rPr>
      </w:pPr>
      <w:r>
        <w:rPr>
          <w:spacing w:val="0"/>
          <w:szCs w:val="32"/>
        </w:rPr>
        <w:t>您好!本问卷采用不记名方式，请根据您的个人真实感受填写，问卷可多选</w:t>
      </w:r>
      <w:r>
        <w:rPr>
          <w:rFonts w:hint="eastAsia"/>
          <w:spacing w:val="0"/>
          <w:szCs w:val="32"/>
        </w:rPr>
        <w:t>，</w:t>
      </w:r>
      <w:r>
        <w:rPr>
          <w:spacing w:val="0"/>
          <w:szCs w:val="32"/>
        </w:rPr>
        <w:t>感谢您的支持与配合!</w:t>
      </w:r>
    </w:p>
    <w:p>
      <w:pPr>
        <w:overflowPunct w:val="0"/>
        <w:topLinePunct/>
        <w:adjustRightInd w:val="0"/>
        <w:snapToGrid w:val="0"/>
        <w:spacing w:line="600" w:lineRule="exact"/>
        <w:ind w:firstLine="640" w:firstLineChars="200"/>
        <w:rPr>
          <w:spacing w:val="0"/>
          <w:szCs w:val="32"/>
        </w:rPr>
      </w:pPr>
      <w:r>
        <w:rPr>
          <w:spacing w:val="0"/>
          <w:szCs w:val="32"/>
        </w:rPr>
        <w:t>1</w:t>
      </w:r>
      <w:r>
        <w:rPr>
          <w:rFonts w:hint="eastAsia"/>
          <w:spacing w:val="0"/>
          <w:szCs w:val="32"/>
        </w:rPr>
        <w:t>．</w:t>
      </w:r>
      <w:r>
        <w:rPr>
          <w:spacing w:val="0"/>
          <w:szCs w:val="32"/>
        </w:rPr>
        <w:t>您的年龄是?</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18</w:t>
      </w:r>
      <w:r>
        <w:rPr>
          <w:spacing w:val="0"/>
          <w:szCs w:val="32"/>
        </w:rPr>
        <w:t>岁以下</w:t>
      </w:r>
      <w:r>
        <w:rPr>
          <w:rFonts w:hint="eastAsia"/>
          <w:spacing w:val="0"/>
          <w:szCs w:val="32"/>
        </w:rPr>
        <w:t xml:space="preserve">   </w:t>
      </w:r>
      <w:r>
        <w:rPr>
          <w:rFonts w:hint="eastAsia"/>
          <w:spacing w:val="0"/>
          <w:szCs w:val="32"/>
        </w:rPr>
        <w:sym w:font="Wingdings 2" w:char="00A3"/>
      </w:r>
      <w:r>
        <w:rPr>
          <w:rFonts w:hint="eastAsia"/>
          <w:spacing w:val="0"/>
          <w:szCs w:val="32"/>
        </w:rPr>
        <w:t xml:space="preserve"> 18</w:t>
      </w:r>
      <w:r>
        <w:rPr>
          <w:spacing w:val="0"/>
          <w:szCs w:val="32"/>
        </w:rPr>
        <w:t>-</w:t>
      </w:r>
      <w:r>
        <w:rPr>
          <w:rFonts w:hint="eastAsia"/>
          <w:spacing w:val="0"/>
          <w:szCs w:val="32"/>
        </w:rPr>
        <w:t>4</w:t>
      </w:r>
      <w:r>
        <w:rPr>
          <w:spacing w:val="0"/>
          <w:szCs w:val="32"/>
        </w:rPr>
        <w:t>5岁</w:t>
      </w:r>
      <w:r>
        <w:rPr>
          <w:rFonts w:hint="eastAsia"/>
          <w:spacing w:val="0"/>
          <w:szCs w:val="32"/>
        </w:rPr>
        <w:t xml:space="preserve">    </w:t>
      </w:r>
      <w:r>
        <w:rPr>
          <w:rFonts w:hint="eastAsia"/>
          <w:spacing w:val="0"/>
          <w:szCs w:val="32"/>
        </w:rPr>
        <w:sym w:font="Wingdings 2" w:char="00A3"/>
      </w:r>
      <w:r>
        <w:rPr>
          <w:rFonts w:hint="eastAsia"/>
          <w:spacing w:val="0"/>
          <w:szCs w:val="32"/>
        </w:rPr>
        <w:t xml:space="preserve"> 4</w:t>
      </w:r>
      <w:r>
        <w:rPr>
          <w:spacing w:val="0"/>
          <w:szCs w:val="32"/>
        </w:rPr>
        <w:t>5-</w:t>
      </w:r>
      <w:r>
        <w:rPr>
          <w:rFonts w:hint="eastAsia"/>
          <w:spacing w:val="0"/>
          <w:szCs w:val="32"/>
        </w:rPr>
        <w:t>6</w:t>
      </w:r>
      <w:r>
        <w:rPr>
          <w:spacing w:val="0"/>
          <w:szCs w:val="32"/>
        </w:rPr>
        <w:t>0岁</w:t>
      </w:r>
      <w:r>
        <w:rPr>
          <w:rFonts w:hint="eastAsia"/>
          <w:spacing w:val="0"/>
          <w:szCs w:val="32"/>
        </w:rPr>
        <w:t xml:space="preserve">    </w:t>
      </w:r>
      <w:r>
        <w:rPr>
          <w:rFonts w:hint="eastAsia"/>
          <w:spacing w:val="0"/>
          <w:szCs w:val="32"/>
        </w:rPr>
        <w:sym w:font="Wingdings 2" w:char="00A3"/>
      </w:r>
      <w:r>
        <w:rPr>
          <w:rFonts w:hint="eastAsia"/>
          <w:spacing w:val="0"/>
          <w:szCs w:val="32"/>
        </w:rPr>
        <w:t xml:space="preserve"> 6</w:t>
      </w:r>
      <w:r>
        <w:rPr>
          <w:spacing w:val="0"/>
          <w:szCs w:val="32"/>
        </w:rPr>
        <w:t>0岁以上</w:t>
      </w:r>
    </w:p>
    <w:p>
      <w:pPr>
        <w:overflowPunct w:val="0"/>
        <w:topLinePunct/>
        <w:adjustRightInd w:val="0"/>
        <w:snapToGrid w:val="0"/>
        <w:spacing w:line="600" w:lineRule="exact"/>
        <w:ind w:firstLine="640" w:firstLineChars="200"/>
        <w:rPr>
          <w:spacing w:val="0"/>
          <w:szCs w:val="32"/>
        </w:rPr>
      </w:pPr>
      <w:r>
        <w:rPr>
          <w:rFonts w:hint="eastAsia"/>
          <w:spacing w:val="0"/>
          <w:szCs w:val="32"/>
        </w:rPr>
        <w:t>2．</w:t>
      </w:r>
      <w:r>
        <w:rPr>
          <w:spacing w:val="0"/>
          <w:szCs w:val="32"/>
        </w:rPr>
        <w:t>您</w:t>
      </w:r>
      <w:r>
        <w:rPr>
          <w:rFonts w:hint="eastAsia"/>
          <w:spacing w:val="0"/>
          <w:szCs w:val="32"/>
        </w:rPr>
        <w:t>家实施卫生改厕了么</w:t>
      </w:r>
      <w:r>
        <w:rPr>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已完成    </w:t>
      </w:r>
      <w:r>
        <w:rPr>
          <w:rFonts w:hint="eastAsia"/>
          <w:spacing w:val="0"/>
          <w:szCs w:val="32"/>
        </w:rPr>
        <w:sym w:font="Wingdings 2" w:char="00A3"/>
      </w:r>
      <w:r>
        <w:rPr>
          <w:rFonts w:hint="eastAsia"/>
          <w:spacing w:val="0"/>
          <w:szCs w:val="32"/>
        </w:rPr>
        <w:t xml:space="preserve"> 没有开展    </w:t>
      </w:r>
      <w:r>
        <w:rPr>
          <w:rFonts w:hint="eastAsia"/>
          <w:spacing w:val="0"/>
          <w:szCs w:val="32"/>
        </w:rPr>
        <w:sym w:font="Wingdings 2" w:char="00A3"/>
      </w:r>
      <w:r>
        <w:rPr>
          <w:rFonts w:hint="eastAsia"/>
          <w:spacing w:val="0"/>
          <w:szCs w:val="32"/>
        </w:rPr>
        <w:t xml:space="preserve"> 正在开展</w:t>
      </w:r>
    </w:p>
    <w:p>
      <w:pPr>
        <w:overflowPunct w:val="0"/>
        <w:topLinePunct/>
        <w:adjustRightInd w:val="0"/>
        <w:snapToGrid w:val="0"/>
        <w:spacing w:line="600" w:lineRule="exact"/>
        <w:ind w:firstLine="640" w:firstLineChars="200"/>
        <w:rPr>
          <w:spacing w:val="0"/>
          <w:szCs w:val="32"/>
        </w:rPr>
      </w:pPr>
      <w:r>
        <w:rPr>
          <w:rFonts w:hint="eastAsia"/>
          <w:spacing w:val="0"/>
          <w:szCs w:val="32"/>
        </w:rPr>
        <w:t>3．你们家的生活污水（冲厕、洗涤、洗浴和厨房等排水）都收集处理了么</w:t>
      </w:r>
      <w:r>
        <w:rPr>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没有收集也没有处理    </w:t>
      </w:r>
      <w:r>
        <w:rPr>
          <w:rFonts w:hint="eastAsia"/>
          <w:spacing w:val="0"/>
          <w:szCs w:val="32"/>
        </w:rPr>
        <w:sym w:font="Wingdings 2" w:char="00A3"/>
      </w:r>
      <w:r>
        <w:rPr>
          <w:rFonts w:hint="eastAsia"/>
          <w:spacing w:val="0"/>
          <w:szCs w:val="32"/>
        </w:rPr>
        <w:t xml:space="preserve"> 收集但没有处理    </w:t>
      </w:r>
      <w:r>
        <w:rPr>
          <w:rFonts w:hint="eastAsia"/>
          <w:spacing w:val="0"/>
          <w:szCs w:val="32"/>
        </w:rPr>
        <w:sym w:font="Wingdings 2" w:char="00A3"/>
      </w:r>
      <w:r>
        <w:rPr>
          <w:rFonts w:hint="eastAsia"/>
          <w:spacing w:val="0"/>
          <w:szCs w:val="32"/>
        </w:rPr>
        <w:t xml:space="preserve"> 收集并进行了处理</w:t>
      </w:r>
    </w:p>
    <w:p>
      <w:pPr>
        <w:overflowPunct w:val="0"/>
        <w:topLinePunct/>
        <w:adjustRightInd w:val="0"/>
        <w:snapToGrid w:val="0"/>
        <w:spacing w:line="600" w:lineRule="exact"/>
        <w:ind w:firstLine="640" w:firstLineChars="200"/>
        <w:rPr>
          <w:spacing w:val="0"/>
          <w:szCs w:val="32"/>
        </w:rPr>
      </w:pPr>
      <w:r>
        <w:rPr>
          <w:rFonts w:hint="eastAsia"/>
          <w:spacing w:val="0"/>
          <w:szCs w:val="32"/>
        </w:rPr>
        <w:t>4．目前村内是否存在生活污水横流或乱倒乱排现象</w:t>
      </w:r>
      <w:r>
        <w:rPr>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存在    </w:t>
      </w:r>
      <w:r>
        <w:rPr>
          <w:rFonts w:hint="eastAsia"/>
          <w:spacing w:val="0"/>
          <w:szCs w:val="32"/>
        </w:rPr>
        <w:sym w:font="Wingdings 2" w:char="00A3"/>
      </w:r>
      <w:r>
        <w:rPr>
          <w:rFonts w:hint="eastAsia"/>
          <w:spacing w:val="0"/>
          <w:szCs w:val="32"/>
        </w:rPr>
        <w:t xml:space="preserve"> 不存在    </w:t>
      </w:r>
      <w:r>
        <w:rPr>
          <w:rFonts w:hint="eastAsia"/>
          <w:spacing w:val="0"/>
          <w:szCs w:val="32"/>
        </w:rPr>
        <w:sym w:font="Wingdings 2" w:char="00A3"/>
      </w:r>
      <w:r>
        <w:rPr>
          <w:rFonts w:hint="eastAsia"/>
          <w:spacing w:val="0"/>
          <w:szCs w:val="32"/>
        </w:rPr>
        <w:t xml:space="preserve"> 不知道</w:t>
      </w:r>
    </w:p>
    <w:p>
      <w:pPr>
        <w:overflowPunct w:val="0"/>
        <w:topLinePunct/>
        <w:adjustRightInd w:val="0"/>
        <w:snapToGrid w:val="0"/>
        <w:spacing w:line="600" w:lineRule="exact"/>
        <w:ind w:firstLine="640" w:firstLineChars="200"/>
        <w:rPr>
          <w:spacing w:val="0"/>
          <w:szCs w:val="32"/>
        </w:rPr>
      </w:pPr>
      <w:r>
        <w:rPr>
          <w:rFonts w:hint="eastAsia"/>
          <w:spacing w:val="0"/>
          <w:szCs w:val="32"/>
        </w:rPr>
        <w:t>5．目前村内房前屋后是否存在黑臭水体、臭水沟、臭水坑等</w:t>
      </w:r>
      <w:r>
        <w:rPr>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存在    </w:t>
      </w:r>
      <w:r>
        <w:rPr>
          <w:rFonts w:hint="eastAsia"/>
          <w:spacing w:val="0"/>
          <w:szCs w:val="32"/>
        </w:rPr>
        <w:sym w:font="Wingdings 2" w:char="00A3"/>
      </w:r>
      <w:r>
        <w:rPr>
          <w:rFonts w:hint="eastAsia"/>
          <w:spacing w:val="0"/>
          <w:szCs w:val="32"/>
        </w:rPr>
        <w:t xml:space="preserve"> 不存在    </w:t>
      </w:r>
      <w:r>
        <w:rPr>
          <w:rFonts w:hint="eastAsia"/>
          <w:spacing w:val="0"/>
          <w:szCs w:val="32"/>
        </w:rPr>
        <w:sym w:font="Wingdings 2" w:char="00A3"/>
      </w:r>
      <w:r>
        <w:rPr>
          <w:rFonts w:hint="eastAsia"/>
          <w:spacing w:val="0"/>
          <w:szCs w:val="32"/>
        </w:rPr>
        <w:t xml:space="preserve"> 不知道</w:t>
      </w:r>
    </w:p>
    <w:p>
      <w:pPr>
        <w:overflowPunct w:val="0"/>
        <w:topLinePunct/>
        <w:adjustRightInd w:val="0"/>
        <w:snapToGrid w:val="0"/>
        <w:spacing w:line="600" w:lineRule="exact"/>
        <w:ind w:firstLine="640" w:firstLineChars="200"/>
        <w:rPr>
          <w:spacing w:val="0"/>
          <w:szCs w:val="32"/>
        </w:rPr>
      </w:pPr>
      <w:r>
        <w:rPr>
          <w:rFonts w:hint="eastAsia"/>
          <w:spacing w:val="0"/>
          <w:szCs w:val="32"/>
        </w:rPr>
        <w:t>6．目前村内是否经常有人抱怨生活污水未得到有效治理</w:t>
      </w:r>
      <w:r>
        <w:rPr>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是    </w:t>
      </w:r>
      <w:r>
        <w:rPr>
          <w:rFonts w:hint="eastAsia"/>
          <w:spacing w:val="0"/>
          <w:szCs w:val="32"/>
        </w:rPr>
        <w:sym w:font="Wingdings 2" w:char="00A3"/>
      </w:r>
      <w:r>
        <w:rPr>
          <w:rFonts w:hint="eastAsia"/>
          <w:spacing w:val="0"/>
          <w:szCs w:val="32"/>
        </w:rPr>
        <w:t xml:space="preserve"> 没有    </w:t>
      </w:r>
      <w:r>
        <w:rPr>
          <w:rFonts w:hint="eastAsia"/>
          <w:spacing w:val="0"/>
          <w:szCs w:val="32"/>
        </w:rPr>
        <w:sym w:font="Wingdings 2" w:char="00A3"/>
      </w:r>
      <w:r>
        <w:rPr>
          <w:rFonts w:hint="eastAsia"/>
          <w:spacing w:val="0"/>
          <w:szCs w:val="32"/>
        </w:rPr>
        <w:t xml:space="preserve"> 不知道</w:t>
      </w:r>
    </w:p>
    <w:p>
      <w:pPr>
        <w:overflowPunct w:val="0"/>
        <w:topLinePunct/>
        <w:adjustRightInd w:val="0"/>
        <w:snapToGrid w:val="0"/>
        <w:spacing w:line="600" w:lineRule="exact"/>
        <w:ind w:firstLine="640" w:firstLineChars="200"/>
        <w:rPr>
          <w:spacing w:val="0"/>
          <w:szCs w:val="32"/>
        </w:rPr>
      </w:pPr>
      <w:r>
        <w:rPr>
          <w:rFonts w:hint="eastAsia"/>
          <w:spacing w:val="0"/>
          <w:szCs w:val="32"/>
        </w:rPr>
        <w:t>7．您认为村上的生活污水得到有效治理（管控）了么</w:t>
      </w:r>
      <w:r>
        <w:rPr>
          <w:spacing w:val="0"/>
          <w:szCs w:val="32"/>
        </w:rPr>
        <w:t>?</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有效治理（管控）了    </w:t>
      </w:r>
      <w:r>
        <w:rPr>
          <w:rFonts w:hint="eastAsia"/>
          <w:spacing w:val="0"/>
          <w:szCs w:val="32"/>
        </w:rPr>
        <w:sym w:font="Wingdings 2" w:char="00A3"/>
      </w:r>
      <w:r>
        <w:rPr>
          <w:rFonts w:hint="eastAsia"/>
          <w:spacing w:val="0"/>
          <w:szCs w:val="32"/>
        </w:rPr>
        <w:t xml:space="preserve"> 没有    </w:t>
      </w:r>
      <w:r>
        <w:rPr>
          <w:rFonts w:hint="eastAsia"/>
          <w:spacing w:val="0"/>
          <w:szCs w:val="32"/>
        </w:rPr>
        <w:sym w:font="Wingdings 2" w:char="00A3"/>
      </w:r>
      <w:r>
        <w:rPr>
          <w:rFonts w:hint="eastAsia"/>
          <w:spacing w:val="0"/>
          <w:szCs w:val="32"/>
        </w:rPr>
        <w:t xml:space="preserve"> 不知道</w:t>
      </w:r>
    </w:p>
    <w:p>
      <w:pPr>
        <w:overflowPunct w:val="0"/>
        <w:topLinePunct/>
        <w:adjustRightInd w:val="0"/>
        <w:snapToGrid w:val="0"/>
        <w:spacing w:line="600" w:lineRule="exact"/>
        <w:ind w:firstLine="640" w:firstLineChars="200"/>
        <w:rPr>
          <w:spacing w:val="0"/>
          <w:szCs w:val="32"/>
        </w:rPr>
      </w:pPr>
      <w:r>
        <w:rPr>
          <w:rFonts w:hint="eastAsia"/>
          <w:spacing w:val="0"/>
          <w:szCs w:val="32"/>
        </w:rPr>
        <w:t>8．您对村内的污水治理项目是否满意?</w:t>
      </w:r>
    </w:p>
    <w:p>
      <w:pPr>
        <w:overflowPunct w:val="0"/>
        <w:topLinePunct/>
        <w:adjustRightInd w:val="0"/>
        <w:snapToGrid w:val="0"/>
        <w:spacing w:line="600" w:lineRule="exact"/>
        <w:ind w:firstLine="640" w:firstLineChars="200"/>
        <w:rPr>
          <w:spacing w:val="0"/>
          <w:szCs w:val="32"/>
        </w:rPr>
      </w:pPr>
      <w:r>
        <w:rPr>
          <w:rFonts w:hint="eastAsia"/>
          <w:spacing w:val="0"/>
          <w:szCs w:val="32"/>
        </w:rPr>
        <w:sym w:font="Wingdings 2" w:char="00A3"/>
      </w:r>
      <w:r>
        <w:rPr>
          <w:rFonts w:hint="eastAsia"/>
          <w:spacing w:val="0"/>
          <w:szCs w:val="32"/>
        </w:rPr>
        <w:t xml:space="preserve"> 非常满意    </w:t>
      </w:r>
      <w:r>
        <w:rPr>
          <w:rFonts w:hint="eastAsia"/>
          <w:spacing w:val="0"/>
          <w:szCs w:val="32"/>
        </w:rPr>
        <w:sym w:font="Wingdings 2" w:char="00A3"/>
      </w:r>
      <w:r>
        <w:rPr>
          <w:rFonts w:hint="eastAsia"/>
          <w:spacing w:val="0"/>
          <w:szCs w:val="32"/>
        </w:rPr>
        <w:t xml:space="preserve"> 比较满意    </w:t>
      </w:r>
      <w:r>
        <w:rPr>
          <w:rFonts w:hint="eastAsia"/>
          <w:spacing w:val="0"/>
          <w:szCs w:val="32"/>
        </w:rPr>
        <w:sym w:font="Wingdings 2" w:char="00A3"/>
      </w:r>
      <w:r>
        <w:rPr>
          <w:rFonts w:hint="eastAsia"/>
          <w:spacing w:val="0"/>
          <w:szCs w:val="32"/>
        </w:rPr>
        <w:t xml:space="preserve"> 不满意</w:t>
      </w:r>
    </w:p>
    <w:p>
      <w:pPr>
        <w:overflowPunct w:val="0"/>
        <w:topLinePunct/>
        <w:adjustRightInd w:val="0"/>
        <w:snapToGrid w:val="0"/>
        <w:spacing w:line="600" w:lineRule="exact"/>
        <w:ind w:firstLine="640" w:firstLineChars="200"/>
        <w:rPr>
          <w:spacing w:val="0"/>
          <w:szCs w:val="32"/>
        </w:rPr>
      </w:pPr>
      <w:r>
        <w:rPr>
          <w:rFonts w:hint="eastAsia"/>
          <w:spacing w:val="0"/>
          <w:szCs w:val="32"/>
        </w:rPr>
        <w:t>9．</w:t>
      </w:r>
      <w:r>
        <w:rPr>
          <w:spacing w:val="0"/>
          <w:szCs w:val="32"/>
        </w:rPr>
        <w:t>若不满意，您认为影响项目</w:t>
      </w:r>
      <w:r>
        <w:rPr>
          <w:rFonts w:hint="eastAsia"/>
          <w:spacing w:val="0"/>
          <w:szCs w:val="32"/>
        </w:rPr>
        <w:t>效果</w:t>
      </w:r>
      <w:r>
        <w:rPr>
          <w:spacing w:val="0"/>
          <w:szCs w:val="32"/>
        </w:rPr>
        <w:t>的原因可能有哪些?【多选题】</w:t>
      </w:r>
    </w:p>
    <w:p>
      <w:pPr>
        <w:overflowPunct w:val="0"/>
        <w:topLinePunct/>
        <w:adjustRightInd w:val="0"/>
        <w:snapToGrid w:val="0"/>
        <w:spacing w:line="600" w:lineRule="exact"/>
        <w:ind w:left="634" w:leftChars="206"/>
        <w:rPr>
          <w:spacing w:val="0"/>
          <w:szCs w:val="32"/>
        </w:rPr>
      </w:pPr>
      <w:r>
        <w:rPr>
          <w:rFonts w:hint="eastAsia"/>
          <w:spacing w:val="0"/>
          <w:szCs w:val="32"/>
        </w:rPr>
        <w:sym w:font="Wingdings 2" w:char="00A3"/>
      </w:r>
      <w:r>
        <w:rPr>
          <w:rFonts w:hint="eastAsia"/>
          <w:spacing w:val="0"/>
          <w:szCs w:val="32"/>
        </w:rPr>
        <w:t xml:space="preserve"> 没有有效收集污水      </w:t>
      </w:r>
      <w:r>
        <w:rPr>
          <w:rFonts w:hint="eastAsia"/>
          <w:spacing w:val="0"/>
          <w:szCs w:val="32"/>
        </w:rPr>
        <w:sym w:font="Wingdings 2" w:char="00A3"/>
      </w:r>
      <w:r>
        <w:rPr>
          <w:rFonts w:hint="eastAsia"/>
          <w:spacing w:val="0"/>
          <w:szCs w:val="32"/>
        </w:rPr>
        <w:t xml:space="preserve"> 污水处理设施无人管护    </w:t>
      </w:r>
      <w:r>
        <w:rPr>
          <w:rFonts w:hint="eastAsia"/>
          <w:spacing w:val="0"/>
          <w:szCs w:val="32"/>
        </w:rPr>
        <w:sym w:font="Wingdings 2" w:char="00A3"/>
      </w:r>
      <w:r>
        <w:rPr>
          <w:rFonts w:hint="eastAsia"/>
          <w:spacing w:val="0"/>
          <w:szCs w:val="32"/>
        </w:rPr>
        <w:t xml:space="preserve"> 污水处理设施建设不合理  </w:t>
      </w:r>
      <w:r>
        <w:rPr>
          <w:rFonts w:hint="eastAsia"/>
          <w:spacing w:val="0"/>
          <w:szCs w:val="32"/>
        </w:rPr>
        <w:sym w:font="Wingdings 2" w:char="00A3"/>
      </w:r>
      <w:r>
        <w:rPr>
          <w:rFonts w:hint="eastAsia"/>
          <w:spacing w:val="0"/>
          <w:szCs w:val="32"/>
        </w:rPr>
        <w:t xml:space="preserve"> 其他</w:t>
      </w:r>
    </w:p>
    <w:p>
      <w:pPr>
        <w:overflowPunct w:val="0"/>
        <w:topLinePunct/>
        <w:adjustRightInd w:val="0"/>
        <w:snapToGrid w:val="0"/>
        <w:spacing w:line="600" w:lineRule="exact"/>
        <w:ind w:firstLine="640" w:firstLineChars="200"/>
        <w:rPr>
          <w:spacing w:val="0"/>
          <w:szCs w:val="32"/>
        </w:rPr>
      </w:pPr>
      <w:r>
        <w:rPr>
          <w:rFonts w:hint="eastAsia"/>
          <w:spacing w:val="0"/>
          <w:szCs w:val="32"/>
        </w:rPr>
        <w:t>10．您对全村农村生活污水治理项目建设还有哪些建议？</w:t>
      </w:r>
    </w:p>
    <w:p>
      <w:pPr>
        <w:overflowPunct w:val="0"/>
        <w:topLinePunct/>
        <w:adjustRightInd w:val="0"/>
        <w:snapToGrid w:val="0"/>
        <w:spacing w:line="600" w:lineRule="exact"/>
        <w:ind w:firstLine="640" w:firstLineChars="200"/>
        <w:rPr>
          <w:spacing w:val="0"/>
          <w:sz w:val="24"/>
          <w:szCs w:val="24"/>
        </w:rPr>
      </w:pPr>
      <w:r>
        <w:rPr>
          <w:rFonts w:hint="eastAsia"/>
          <w:spacing w:val="0"/>
          <w:szCs w:val="32"/>
          <w:u w:val="single"/>
        </w:rPr>
        <w:t xml:space="preserve">                                                     </w:t>
      </w:r>
    </w:p>
    <w:p>
      <w:pPr>
        <w:overflowPunct w:val="0"/>
        <w:topLinePunct/>
        <w:adjustRightInd w:val="0"/>
        <w:snapToGrid w:val="0"/>
        <w:spacing w:line="600" w:lineRule="exact"/>
        <w:ind w:firstLine="880" w:firstLineChars="200"/>
        <w:jc w:val="right"/>
        <w:rPr>
          <w:rFonts w:eastAsia="方正小标宋简体"/>
          <w:b/>
          <w:bCs/>
          <w:spacing w:val="0"/>
          <w:sz w:val="44"/>
          <w:szCs w:val="44"/>
        </w:rPr>
      </w:pPr>
    </w:p>
    <w:p>
      <w:pPr>
        <w:overflowPunct w:val="0"/>
        <w:topLinePunct/>
        <w:adjustRightInd w:val="0"/>
        <w:snapToGrid w:val="0"/>
        <w:spacing w:line="600" w:lineRule="exact"/>
        <w:ind w:firstLine="880" w:firstLineChars="200"/>
        <w:jc w:val="right"/>
        <w:rPr>
          <w:rFonts w:eastAsia="方正小标宋简体"/>
          <w:b/>
          <w:bCs/>
          <w:spacing w:val="0"/>
          <w:sz w:val="44"/>
          <w:szCs w:val="44"/>
        </w:rPr>
      </w:pPr>
    </w:p>
    <w:p>
      <w:pPr>
        <w:overflowPunct w:val="0"/>
        <w:topLinePunct/>
        <w:adjustRightInd w:val="0"/>
        <w:snapToGrid w:val="0"/>
        <w:spacing w:line="600" w:lineRule="exact"/>
        <w:ind w:firstLine="880" w:firstLineChars="200"/>
        <w:jc w:val="right"/>
        <w:rPr>
          <w:rFonts w:eastAsia="方正小标宋简体"/>
          <w:b/>
          <w:bCs/>
          <w:spacing w:val="0"/>
          <w:sz w:val="44"/>
          <w:szCs w:val="44"/>
        </w:rPr>
      </w:pPr>
    </w:p>
    <w:p>
      <w:pPr>
        <w:overflowPunct w:val="0"/>
        <w:topLinePunct/>
        <w:spacing w:line="600" w:lineRule="exact"/>
        <w:jc w:val="left"/>
        <w:rPr>
          <w:bCs/>
          <w:spacing w:val="0"/>
          <w:szCs w:val="32"/>
        </w:rPr>
      </w:pPr>
    </w:p>
    <w:p>
      <w:pPr>
        <w:widowControl/>
        <w:spacing w:line="240" w:lineRule="auto"/>
        <w:jc w:val="left"/>
        <w:rPr>
          <w:spacing w:val="0"/>
        </w:rPr>
      </w:pPr>
      <w:bookmarkStart w:id="0" w:name="_GoBack"/>
      <w:bookmarkEnd w:id="0"/>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247" w:left="1588"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651140924"/>
      <w:docPartObj>
        <w:docPartGallery w:val="autotext"/>
      </w:docPartObj>
    </w:sdtPr>
    <w:sdtEndPr>
      <w:rPr>
        <w:rFonts w:hint="eastAsia" w:ascii="宋体" w:hAnsi="宋体" w:eastAsia="宋体"/>
        <w:sz w:val="28"/>
        <w:szCs w:val="28"/>
      </w:rPr>
    </w:sdtEndPr>
    <w:sdtContent>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879976239"/>
      <w:docPartObj>
        <w:docPartGallery w:val="autotext"/>
      </w:docPartObj>
    </w:sdtPr>
    <w:sdtEndPr>
      <w:rPr>
        <w:rFonts w:hint="eastAsia" w:ascii="宋体" w:hAnsi="宋体" w:eastAsia="宋体"/>
        <w:sz w:val="28"/>
        <w:szCs w:val="28"/>
      </w:rPr>
    </w:sdtEndPr>
    <w:sdtContent>
      <w:p>
        <w:pPr>
          <w:pStyle w:val="3"/>
          <w:ind w:left="308" w:leftChars="100" w:right="308"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45720" distB="45720" distL="114300" distR="114300" simplePos="0" relativeHeight="251659264" behindDoc="1" locked="0" layoutInCell="1" allowOverlap="1">
              <wp:simplePos x="0" y="0"/>
              <wp:positionH relativeFrom="column">
                <wp:posOffset>-397510</wp:posOffset>
              </wp:positionH>
              <wp:positionV relativeFrom="paragraph">
                <wp:posOffset>-1601470</wp:posOffset>
              </wp:positionV>
              <wp:extent cx="2360930" cy="1450975"/>
              <wp:effectExtent l="0" t="0" r="26670" b="16510"/>
              <wp:wrapNone/>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60930" cy="1450871"/>
                      </a:xfrm>
                      <a:prstGeom prst="rect">
                        <a:avLst/>
                      </a:prstGeom>
                      <a:solidFill>
                        <a:srgbClr val="FFFFFF"/>
                      </a:solidFill>
                      <a:ln w="9525">
                        <a:solidFill>
                          <a:schemeClr val="bg1"/>
                        </a:solidFill>
                        <a:miter lim="800000"/>
                      </a:ln>
                    </wps:spPr>
                    <wps:txbx>
                      <w:txbxContent>
                        <w:sdt>
                          <w:sdtPr>
                            <w:rPr>
                              <w:rFonts w:hint="eastAsia" w:ascii="宋体" w:hAnsi="宋体" w:eastAsia="宋体"/>
                              <w:sz w:val="28"/>
                              <w:szCs w:val="28"/>
                            </w:rPr>
                            <w:id w:val="-1332679173"/>
                            <w:docPartObj>
                              <w:docPartGallery w:val="autotext"/>
                            </w:docPartObj>
                          </w:sdtPr>
                          <w:sdtEndPr>
                            <w:rPr>
                              <w:rFonts w:hint="eastAsia" w:ascii="宋体" w:hAnsi="宋体" w:eastAsia="宋体"/>
                              <w:sz w:val="28"/>
                              <w:szCs w:val="28"/>
                            </w:rPr>
                          </w:sdtEndPr>
                          <w:sdtContent>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sdtContent>
                        </w:sdt>
                      </w:txbxContent>
                    </wps:txbx>
                    <wps:bodyPr rot="0" vert="vert" wrap="square" lIns="91440" tIns="45720" rIns="91440" bIns="45720" anchor="t" anchorCtr="false">
                      <a:sp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31.3pt;margin-top:-126.1pt;height:114.25pt;width:185.9pt;z-index:-251657216;mso-width-relative:margin;mso-height-relative:page;mso-width-percent:400;" fillcolor="#FFFFFF" filled="t" stroked="t" coordsize="21600,21600" o:gfxdata="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mI/p3AAAAAwBAAAPAAAAAAAAAAEAIAAAADgAAABkcnMv&#10;ZG93bnJldi54bWxQSwECFAAUAAAACACHTuJAGHDKqCICAAA6BAAADgAAAAAAAAABACAAAABBAQAA&#10;ZHJzL2Uyb0RvYy54bWxQSwUGAAAAAAYABgBZAQAA1QUAAAAA&#10;">
              <v:fill on="t" focussize="0,0"/>
              <v:stroke color="#FFFFFF [3212]" miterlimit="8" joinstyle="miter"/>
              <v:imagedata o:title=""/>
              <o:lock v:ext="edit" aspectratio="f"/>
              <v:textbox style="layout-flow:vertical;mso-fit-shape-to-text:t;">
                <w:txbxContent>
                  <w:sdt>
                    <w:sdtPr>
                      <w:rPr>
                        <w:rFonts w:hint="eastAsia" w:ascii="宋体" w:hAnsi="宋体" w:eastAsia="宋体"/>
                        <w:sz w:val="28"/>
                        <w:szCs w:val="28"/>
                      </w:rPr>
                      <w:id w:val="-1332679173"/>
                      <w:docPartObj>
                        <w:docPartGallery w:val="autotext"/>
                      </w:docPartObj>
                    </w:sdtPr>
                    <w:sdtEndPr>
                      <w:rPr>
                        <w:rFonts w:hint="eastAsia" w:ascii="宋体" w:hAnsi="宋体" w:eastAsia="宋体"/>
                        <w:sz w:val="28"/>
                        <w:szCs w:val="28"/>
                      </w:rPr>
                    </w:sdtEndPr>
                    <w:sdtContent>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640958721"/>
    </w:sdtPr>
    <w:sdtEndPr>
      <w:rPr>
        <w:rFonts w:hint="eastAsia" w:ascii="宋体" w:hAnsi="宋体" w:eastAsia="宋体"/>
        <w:sz w:val="28"/>
        <w:szCs w:val="28"/>
      </w:rPr>
    </w:sdtEndPr>
    <w:sdtContent>
      <w:p>
        <w:pPr>
          <w:tabs>
            <w:tab w:val="center" w:pos="4153"/>
            <w:tab w:val="right" w:pos="8306"/>
          </w:tabs>
          <w:snapToGrid w:val="0"/>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等线"/>
        <w:sz w:val="28"/>
        <w:szCs w:val="28"/>
      </w:rPr>
      <w:id w:val="-924176044"/>
    </w:sdtPr>
    <w:sdtEndPr>
      <w:rPr>
        <w:rFonts w:hint="eastAsia" w:ascii="宋体" w:hAnsi="宋体" w:eastAsia="等线"/>
        <w:sz w:val="28"/>
        <w:szCs w:val="28"/>
      </w:rPr>
    </w:sdtEndPr>
    <w:sdtContent>
      <w:sdt>
        <w:sdtPr>
          <w:rPr>
            <w:rFonts w:hint="eastAsia" w:ascii="宋体" w:hAnsi="宋体" w:eastAsia="宋体"/>
            <w:sz w:val="28"/>
            <w:szCs w:val="28"/>
          </w:rPr>
          <w:id w:val="-1412536541"/>
        </w:sdtPr>
        <w:sdtEndPr>
          <w:rPr>
            <w:rFonts w:hint="eastAsia" w:ascii="宋体" w:hAnsi="宋体" w:eastAsia="宋体"/>
            <w:sz w:val="28"/>
            <w:szCs w:val="28"/>
          </w:rPr>
        </w:sdtEndPr>
        <w:sdtContent>
          <w:p>
            <w:pPr>
              <w:tabs>
                <w:tab w:val="center" w:pos="4153"/>
                <w:tab w:val="right" w:pos="8306"/>
              </w:tabs>
              <w:snapToGrid w:val="0"/>
              <w:ind w:left="308" w:leftChars="100" w:right="308" w:rightChars="10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hint="eastAsia" w:ascii="宋体" w:hAnsi="宋体" w:eastAsia="宋体"/>
                <w:sz w:val="28"/>
                <w:szCs w:val="28"/>
              </w:rPr>
              <w:t xml:space="preserve"> —</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等线"/>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45720" distB="45720" distL="114300" distR="114300" simplePos="0" relativeHeight="251661312" behindDoc="1" locked="0" layoutInCell="1" allowOverlap="1">
              <wp:simplePos x="0" y="0"/>
              <wp:positionH relativeFrom="column">
                <wp:posOffset>-372745</wp:posOffset>
              </wp:positionH>
              <wp:positionV relativeFrom="paragraph">
                <wp:posOffset>441960</wp:posOffset>
              </wp:positionV>
              <wp:extent cx="2360930" cy="1527810"/>
              <wp:effectExtent l="0" t="0" r="26670" b="15240"/>
              <wp:wrapNone/>
              <wp:docPr id="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60930" cy="1527859"/>
                      </a:xfrm>
                      <a:prstGeom prst="rect">
                        <a:avLst/>
                      </a:prstGeom>
                      <a:solidFill>
                        <a:srgbClr val="FFFFFF"/>
                      </a:solidFill>
                      <a:ln w="9525">
                        <a:solidFill>
                          <a:schemeClr val="bg1"/>
                        </a:solidFill>
                        <a:miter lim="800000"/>
                      </a:ln>
                    </wps:spPr>
                    <wps:txbx>
                      <w:txbxContent>
                        <w:sdt>
                          <w:sdtPr>
                            <w:rPr>
                              <w:rFonts w:hint="eastAsia" w:ascii="宋体" w:hAnsi="宋体" w:eastAsia="宋体"/>
                              <w:sz w:val="28"/>
                              <w:szCs w:val="28"/>
                            </w:rPr>
                            <w:id w:val="983124991"/>
                            <w:docPartObj>
                              <w:docPartGallery w:val="autotext"/>
                            </w:docPartObj>
                          </w:sdtPr>
                          <w:sdtEndPr>
                            <w:rPr>
                              <w:rFonts w:hint="eastAsia" w:ascii="宋体" w:hAnsi="宋体" w:eastAsia="宋体"/>
                              <w:sz w:val="28"/>
                              <w:szCs w:val="28"/>
                            </w:rPr>
                          </w:sdtEndPr>
                          <w:sdtContent>
                            <w:p>
                              <w:pPr>
                                <w:pStyle w:val="3"/>
                                <w:ind w:left="308" w:leftChars="100" w:right="308"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sdtContent>
                        </w:sdt>
                      </w:txbxContent>
                    </wps:txbx>
                    <wps:bodyPr rot="0" vert="vert" wrap="square" lIns="91440" tIns="45720" rIns="91440" bIns="45720" anchor="t" anchorCtr="false">
                      <a:sp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29.35pt;margin-top:34.8pt;height:120.3pt;width:185.9pt;z-index:-251655168;mso-width-relative:margin;mso-height-relative:page;mso-width-percent:400;" fillcolor="#FFFFFF" filled="t" stroked="t" coordsize="21600,21600" o:gfxdata="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93ylTNsAAAAKAQAADwAAAAAAAAABACAAAAA4AAAAZHJzL2Rv&#10;d25yZXYueG1sUEsBAhQAFAAAAAgAh07iQAab+U4hAgAAOAQAAA4AAAAAAAAAAQAgAAAAQAEAAGRy&#10;cy9lMm9Eb2MueG1sUEsFBgAAAAAGAAYAWQEAANMFAAAAAA==&#10;">
              <v:fill on="t" focussize="0,0"/>
              <v:stroke color="#FFFFFF [3212]" miterlimit="8" joinstyle="miter"/>
              <v:imagedata o:title=""/>
              <o:lock v:ext="edit" aspectratio="f"/>
              <v:textbox style="layout-flow:vertical;mso-fit-shape-to-text:t;">
                <w:txbxContent>
                  <w:sdt>
                    <w:sdtPr>
                      <w:rPr>
                        <w:rFonts w:hint="eastAsia" w:ascii="宋体" w:hAnsi="宋体" w:eastAsia="宋体"/>
                        <w:sz w:val="28"/>
                        <w:szCs w:val="28"/>
                      </w:rPr>
                      <w:id w:val="983124991"/>
                      <w:docPartObj>
                        <w:docPartGallery w:val="autotext"/>
                      </w:docPartObj>
                    </w:sdtPr>
                    <w:sdtEndPr>
                      <w:rPr>
                        <w:rFonts w:hint="eastAsia" w:ascii="宋体" w:hAnsi="宋体" w:eastAsia="宋体"/>
                        <w:sz w:val="28"/>
                        <w:szCs w:val="28"/>
                      </w:rPr>
                    </w:sdtEndPr>
                    <w:sdtContent>
                      <w:p>
                        <w:pPr>
                          <w:pStyle w:val="3"/>
                          <w:ind w:left="308" w:leftChars="100" w:right="308"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sdtContent>
                  </w:sdt>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rPr>
        <w:rFonts w:ascii="等线" w:hAnsi="等线" w:eastAsia="等线"/>
        <w:spacing w:val="0"/>
        <w:sz w:val="21"/>
        <w:szCs w:val="22"/>
      </w:rPr>
    </w:pPr>
  </w:p>
  <w:p>
    <w:pPr>
      <w:spacing w:line="240" w:lineRule="auto"/>
      <w:rPr>
        <w:rFonts w:ascii="等线" w:hAnsi="等线" w:eastAsia="等线"/>
        <w:spacing w:val="0"/>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rFonts w:ascii="等线" w:hAnsi="等线" w:eastAsia="等线"/>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true"/>
  <w:drawingGridHorizontalSpacing w:val="154"/>
  <w:drawingGridVerticalSpacing w:val="43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E401CC"/>
    <w:rsid w:val="00013EB3"/>
    <w:rsid w:val="000655E2"/>
    <w:rsid w:val="000B7D9D"/>
    <w:rsid w:val="002270A8"/>
    <w:rsid w:val="002C1AD0"/>
    <w:rsid w:val="00566925"/>
    <w:rsid w:val="006200FA"/>
    <w:rsid w:val="00632D5C"/>
    <w:rsid w:val="007A2399"/>
    <w:rsid w:val="007E3422"/>
    <w:rsid w:val="008E0F65"/>
    <w:rsid w:val="00976F0C"/>
    <w:rsid w:val="00A87489"/>
    <w:rsid w:val="00BE12BE"/>
    <w:rsid w:val="00CE4DA3"/>
    <w:rsid w:val="00F13588"/>
    <w:rsid w:val="00FC50C5"/>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3FAD7545"/>
    <w:rsid w:val="47A8519E"/>
    <w:rsid w:val="492905A3"/>
    <w:rsid w:val="49F8204D"/>
    <w:rsid w:val="4A015677"/>
    <w:rsid w:val="4DAF4C6A"/>
    <w:rsid w:val="514F07F2"/>
    <w:rsid w:val="57FB7221"/>
    <w:rsid w:val="5E0F1B60"/>
    <w:rsid w:val="613E2453"/>
    <w:rsid w:val="67FF6AA2"/>
    <w:rsid w:val="6D717C1E"/>
    <w:rsid w:val="6DEF42E5"/>
    <w:rsid w:val="759F3666"/>
    <w:rsid w:val="75DB226C"/>
    <w:rsid w:val="79AC5FC4"/>
    <w:rsid w:val="7B1240D2"/>
    <w:rsid w:val="7B7FDB69"/>
    <w:rsid w:val="7BDEAF24"/>
    <w:rsid w:val="7F5FF87A"/>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page number"/>
    <w:basedOn w:val="7"/>
    <w:unhideWhenUsed/>
    <w:qFormat/>
    <w:uiPriority w:val="99"/>
  </w:style>
  <w:style w:type="character" w:customStyle="1" w:styleId="9">
    <w:name w:val="页眉 字符"/>
    <w:basedOn w:val="7"/>
    <w:link w:val="4"/>
    <w:qFormat/>
    <w:uiPriority w:val="0"/>
    <w:rPr>
      <w:rFonts w:eastAsia="仿宋_GB2312"/>
      <w:spacing w:val="-6"/>
      <w:kern w:val="2"/>
      <w:sz w:val="18"/>
      <w:szCs w:val="18"/>
    </w:rPr>
  </w:style>
  <w:style w:type="character" w:customStyle="1" w:styleId="10">
    <w:name w:val="页脚 字符"/>
    <w:link w:val="3"/>
    <w:qFormat/>
    <w:uiPriority w:val="99"/>
    <w:rPr>
      <w:rFonts w:eastAsia="仿宋_GB2312"/>
      <w:spacing w:val="-6"/>
      <w:kern w:val="2"/>
    </w:rPr>
  </w:style>
  <w:style w:type="character" w:customStyle="1" w:styleId="11">
    <w:name w:val="批注框文本 字符"/>
    <w:basedOn w:val="7"/>
    <w:link w:val="2"/>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1290</Words>
  <Characters>7359</Characters>
  <Lines>61</Lines>
  <Paragraphs>17</Paragraphs>
  <TotalTime>16</TotalTime>
  <ScaleCrop>false</ScaleCrop>
  <LinksUpToDate>false</LinksUpToDate>
  <CharactersWithSpaces>8632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2024-06-20T22:55:00Z</dcterms:created>
  <dc:creator>Administrator</dc:creator>
  <cp:lastModifiedBy>user</cp:lastModifiedBy>
  <cp:lastPrinted>2024-06-20T15:50:00Z</cp:lastPrinted>
  <dcterms:modified xsi:type="dcterms:W3CDTF">2024-07-01T15:52:06Z</dcterms:modified>
  <dc:title>附件n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