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spacing w:line="600" w:lineRule="exact"/>
        <w:jc w:val="left"/>
        <w:rPr>
          <w:rStyle w:val="9"/>
          <w:rFonts w:ascii="Times New Roman" w:hAnsi="Times New Roman" w:eastAsia="黑体"/>
          <w:sz w:val="32"/>
          <w:szCs w:val="32"/>
        </w:rPr>
      </w:pPr>
      <w:r>
        <w:rPr>
          <w:rStyle w:val="9"/>
          <w:rFonts w:ascii="Times New Roman" w:hAnsi="Times New Roman" w:eastAsia="黑体"/>
          <w:sz w:val="32"/>
          <w:szCs w:val="32"/>
        </w:rPr>
        <w:t>附件2</w:t>
      </w:r>
    </w:p>
    <w:p>
      <w:pPr>
        <w:overflowPunct w:val="0"/>
        <w:topLinePunct/>
        <w:spacing w:line="600" w:lineRule="exact"/>
        <w:rPr>
          <w:rStyle w:val="9"/>
          <w:rFonts w:ascii="Times New Roman" w:hAnsi="Times New Roman" w:eastAsia="黑体"/>
          <w:szCs w:val="32"/>
        </w:rPr>
      </w:pPr>
    </w:p>
    <w:p>
      <w:pPr>
        <w:overflowPunct w:val="0"/>
        <w:topLinePunct/>
        <w:spacing w:line="600" w:lineRule="exact"/>
        <w:jc w:val="center"/>
        <w:outlineLvl w:val="0"/>
        <w:rPr>
          <w:rStyle w:val="9"/>
          <w:rFonts w:ascii="Times New Roman" w:hAnsi="Times New Roman" w:eastAsia="方正小标宋简体"/>
          <w:sz w:val="44"/>
          <w:szCs w:val="32"/>
        </w:rPr>
      </w:pP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2024年1月</w:t>
      </w:r>
      <w:r>
        <w:rPr>
          <w:rStyle w:val="9"/>
          <w:rFonts w:ascii="Times New Roman" w:hAnsi="Times New Roman" w:eastAsia="方正小标宋简体"/>
          <w:sz w:val="44"/>
          <w:szCs w:val="32"/>
        </w:rPr>
        <w:t>全省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PM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10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、O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3</w:t>
      </w:r>
      <w:r>
        <w:rPr>
          <w:rStyle w:val="9"/>
          <w:rFonts w:hint="eastAsia" w:ascii="Times New Roman" w:hAnsi="Times New Roman" w:eastAsia="方正小标宋简体"/>
          <w:sz w:val="44"/>
          <w:szCs w:val="32"/>
        </w:rPr>
        <w:t>、NO</w:t>
      </w:r>
      <w:r>
        <w:rPr>
          <w:rStyle w:val="9"/>
          <w:rFonts w:hint="eastAsia" w:ascii="Times New Roman" w:hAnsi="Times New Roman" w:eastAsia="方正小标宋简体"/>
          <w:sz w:val="44"/>
          <w:szCs w:val="32"/>
          <w:vertAlign w:val="subscript"/>
        </w:rPr>
        <w:t>2</w:t>
      </w:r>
      <w:r>
        <w:rPr>
          <w:rStyle w:val="9"/>
          <w:rFonts w:ascii="Times New Roman" w:hAnsi="Times New Roman" w:eastAsia="方正小标宋简体"/>
          <w:sz w:val="44"/>
          <w:szCs w:val="32"/>
        </w:rPr>
        <w:t>变化情况</w:t>
      </w:r>
    </w:p>
    <w:p>
      <w:pPr>
        <w:overflowPunct w:val="0"/>
        <w:topLinePunct/>
        <w:spacing w:line="600" w:lineRule="exact"/>
        <w:jc w:val="right"/>
        <w:outlineLvl w:val="0"/>
        <w:rPr>
          <w:rStyle w:val="9"/>
          <w:rFonts w:ascii="Times New Roman" w:hAnsi="Times New Roman" w:eastAsia="黑体"/>
          <w:sz w:val="24"/>
        </w:rPr>
      </w:pPr>
      <w:r>
        <w:rPr>
          <w:rStyle w:val="9"/>
          <w:rFonts w:ascii="Times New Roman" w:hAnsi="Times New Roman" w:eastAsia="黑体"/>
          <w:sz w:val="24"/>
        </w:rPr>
        <w:t>（微克每立方米）</w:t>
      </w:r>
    </w:p>
    <w:tbl>
      <w:tblPr>
        <w:tblStyle w:val="6"/>
        <w:tblW w:w="5000" w:type="pct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6"/>
        <w:gridCol w:w="928"/>
        <w:gridCol w:w="512"/>
        <w:gridCol w:w="765"/>
        <w:gridCol w:w="927"/>
        <w:gridCol w:w="460"/>
        <w:gridCol w:w="765"/>
        <w:gridCol w:w="927"/>
        <w:gridCol w:w="460"/>
        <w:gridCol w:w="765"/>
        <w:gridCol w:w="9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55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区域</w:t>
            </w:r>
          </w:p>
        </w:tc>
        <w:tc>
          <w:tcPr>
            <w:tcW w:w="5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市</w:t>
            </w:r>
            <w:r>
              <w:rPr>
                <w:rFonts w:hint="eastAsia"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（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州</w:t>
            </w:r>
            <w:r>
              <w:rPr>
                <w:rFonts w:hint="eastAsia"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）</w:t>
            </w:r>
          </w:p>
        </w:tc>
        <w:tc>
          <w:tcPr>
            <w:tcW w:w="30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PM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  <w:vertAlign w:val="subscript"/>
              </w:rPr>
              <w:t>10</w:t>
            </w:r>
          </w:p>
        </w:tc>
        <w:tc>
          <w:tcPr>
            <w:tcW w:w="4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年</w:t>
            </w:r>
          </w:p>
        </w:tc>
        <w:tc>
          <w:tcPr>
            <w:tcW w:w="5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三年均值</w:t>
            </w:r>
          </w:p>
        </w:tc>
        <w:tc>
          <w:tcPr>
            <w:tcW w:w="2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O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  <w:vertAlign w:val="subscript"/>
              </w:rPr>
              <w:t>3</w:t>
            </w:r>
          </w:p>
        </w:tc>
        <w:tc>
          <w:tcPr>
            <w:tcW w:w="4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年</w:t>
            </w:r>
          </w:p>
        </w:tc>
        <w:tc>
          <w:tcPr>
            <w:tcW w:w="5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三年均值</w:t>
            </w:r>
          </w:p>
        </w:tc>
        <w:tc>
          <w:tcPr>
            <w:tcW w:w="2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NO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  <w:vertAlign w:val="subscript"/>
              </w:rPr>
              <w:t>2</w:t>
            </w:r>
          </w:p>
        </w:tc>
        <w:tc>
          <w:tcPr>
            <w:tcW w:w="4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202</w:t>
            </w:r>
            <w:r>
              <w:rPr>
                <w:rFonts w:hint="eastAsia"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3</w:t>
            </w:r>
            <w:r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  <w:t>年</w:t>
            </w:r>
          </w:p>
        </w:tc>
        <w:tc>
          <w:tcPr>
            <w:tcW w:w="5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同比</w:t>
            </w:r>
          </w:p>
          <w:p>
            <w:pPr>
              <w:overflowPunct w:val="0"/>
              <w:topLinePunct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黑体"/>
                <w:spacing w:val="-6"/>
                <w:kern w:val="0"/>
                <w:sz w:val="22"/>
              </w:rPr>
              <w:t>三年均值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成都平原地区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成都市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-20.2%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-7.8%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37.3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9.4%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德阳市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81.2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-34.3%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-14.3%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-26.0%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-9.8%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34.7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1.5%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绵阳市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88.5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-24.4%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-0.8%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-29.2%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-12.8%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35.7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14.4%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0.3%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遂宁市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64.8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-37.0%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-23.9%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52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-36.6%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-29.7%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26.3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-23.5%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乐山市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93.8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-16.2%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-1.6%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-9.4%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8.9%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12.1%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-6.6%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眉山市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84.4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-17.5%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8.3%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-21.3%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21.6%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21.6%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雅安市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22.2%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29.9%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1.1%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资阳市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-30.0%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-13.8%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-10.9%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-3.2%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23.7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-15.4%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-29.7%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82.6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-23.2%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72.4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32.3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5.2%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川南地区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自贡市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-18.6%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8.1%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28.9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-13.5%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-17.2%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泸州市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99.9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-24.7%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8.6%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-24.5%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内江市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72.6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-29.0%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-13.3%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2.2%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26.9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-9.7%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-20.9%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宜宾市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96.5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-14.8%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-3.9%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-6.5%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-25.3%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-9.7%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91.2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-21.7%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1.9%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-8.9%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9.8%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27.8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-21.7%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川东北</w:t>
            </w:r>
          </w:p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地区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广元市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-31.8%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-3.6%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33.9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16.5%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-8.4%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南充市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79.6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-27.2%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-7.7%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-37.8%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-36.4%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26.7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-7.9%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广安市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77.9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-34.8%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-0.1%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-34.6%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-26.3%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25.1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5.6%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达州市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92.4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-21.0%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-2.4%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-28.6%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41.2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-5.1%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-11.6%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巴中市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70.6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-27.0%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-1.6%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-29.9%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-2.2%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28.1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-1.9%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平均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77.4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-28.3%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51.4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-30.7%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-2.2%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-5.8%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攀西高原地区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攀枝花市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65.6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99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-8.3%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17.1%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-4.4%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凉山州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55.9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-13.7%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-1.4%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104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4.0%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22.2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5.7%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川西高原地区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阿坝州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14.3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-28.5%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-48.9%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-11.3%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32.7%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54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kern w:val="0"/>
                <w:sz w:val="22"/>
              </w:rPr>
              <w:t>甘孜州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22.1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0.9%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-4.7%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80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5.3%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92.3%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-15.0%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0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  <w:t>重点城市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-3.5%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69.5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-19.3%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-5.6%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30.8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-1.6%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-12.0%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1109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overflowPunct w:val="0"/>
              <w:topLinePunct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-6"/>
                <w:kern w:val="0"/>
                <w:sz w:val="22"/>
              </w:rPr>
              <w:t>全省</w:t>
            </w:r>
          </w:p>
        </w:tc>
        <w:tc>
          <w:tcPr>
            <w:tcW w:w="30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74.8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-23.3%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-4.1%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72.7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-16.0%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-4.5%</w:t>
            </w:r>
          </w:p>
        </w:tc>
        <w:tc>
          <w:tcPr>
            <w:tcW w:w="27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29.5</w:t>
            </w:r>
          </w:p>
        </w:tc>
        <w:tc>
          <w:tcPr>
            <w:tcW w:w="4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2.8%</w:t>
            </w:r>
          </w:p>
        </w:tc>
        <w:tc>
          <w:tcPr>
            <w:tcW w:w="5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-10.3%</w:t>
            </w:r>
          </w:p>
        </w:tc>
      </w:tr>
    </w:tbl>
    <w:p>
      <w:pPr>
        <w:overflowPunct w:val="0"/>
        <w:topLinePunct/>
        <w:spacing w:line="400" w:lineRule="exact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备注：1．重点城市是指全国168个重点城市中我省的15个市。</w:t>
      </w:r>
    </w:p>
    <w:p>
      <w:pPr>
        <w:overflowPunct w:val="0"/>
        <w:topLinePunct/>
        <w:spacing w:line="400" w:lineRule="exact"/>
        <w:ind w:firstLine="720" w:firstLineChars="300"/>
        <w:rPr>
          <w:rFonts w:ascii="Times New Roman" w:hAnsi="Times New Roman" w:eastAsia="仿宋_GB2312" w:cs="仿宋_GB2312"/>
          <w:sz w:val="24"/>
        </w:rPr>
      </w:pPr>
      <w:r>
        <w:rPr>
          <w:rFonts w:hint="eastAsia" w:ascii="Times New Roman" w:hAnsi="Times New Roman" w:eastAsia="仿宋_GB2312" w:cs="仿宋_GB2312"/>
          <w:sz w:val="24"/>
        </w:rPr>
        <w:t>2．三年均值指2020—2022年同期平均值。</w:t>
      </w:r>
    </w:p>
    <w:p>
      <w:pPr>
        <w:overflowPunct w:val="0"/>
        <w:topLinePunct/>
        <w:spacing w:line="400" w:lineRule="exact"/>
        <w:ind w:firstLine="720" w:firstLineChars="300"/>
      </w:pPr>
      <w:r>
        <w:rPr>
          <w:rFonts w:hint="eastAsia" w:ascii="Times New Roman" w:hAnsi="Times New Roman" w:eastAsia="仿宋_GB2312"/>
          <w:sz w:val="24"/>
        </w:rPr>
        <w:t>3．数据来源为国控站实测数据。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283" w:usb1="180F0C1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YjhkM2VhNmZhNGZkZGVlZTE1NzQ3MzA2NWMwNGUifQ=="/>
  </w:docVars>
  <w:rsids>
    <w:rsidRoot w:val="14FB018B"/>
    <w:rsid w:val="002F061A"/>
    <w:rsid w:val="01787511"/>
    <w:rsid w:val="01D9734C"/>
    <w:rsid w:val="04B63A89"/>
    <w:rsid w:val="088A1DAF"/>
    <w:rsid w:val="08FB5784"/>
    <w:rsid w:val="0C426909"/>
    <w:rsid w:val="0DB80779"/>
    <w:rsid w:val="0ED075D4"/>
    <w:rsid w:val="10F51620"/>
    <w:rsid w:val="120945FF"/>
    <w:rsid w:val="145F691E"/>
    <w:rsid w:val="14FB018B"/>
    <w:rsid w:val="18CE0171"/>
    <w:rsid w:val="193C0AB6"/>
    <w:rsid w:val="1A0B1C81"/>
    <w:rsid w:val="1B050932"/>
    <w:rsid w:val="1B576919"/>
    <w:rsid w:val="1F457A4F"/>
    <w:rsid w:val="1F8029DD"/>
    <w:rsid w:val="24997352"/>
    <w:rsid w:val="25056126"/>
    <w:rsid w:val="257D2E0C"/>
    <w:rsid w:val="265768A7"/>
    <w:rsid w:val="272E08F4"/>
    <w:rsid w:val="27557ECB"/>
    <w:rsid w:val="29687186"/>
    <w:rsid w:val="2A1C736D"/>
    <w:rsid w:val="2B9E0AFB"/>
    <w:rsid w:val="2DA000F1"/>
    <w:rsid w:val="2FA21C17"/>
    <w:rsid w:val="34052A5B"/>
    <w:rsid w:val="34DF305F"/>
    <w:rsid w:val="352A1150"/>
    <w:rsid w:val="355A43E9"/>
    <w:rsid w:val="36D5294F"/>
    <w:rsid w:val="370B383C"/>
    <w:rsid w:val="39252C44"/>
    <w:rsid w:val="3A1A7E0D"/>
    <w:rsid w:val="3ABE40D8"/>
    <w:rsid w:val="3ADF1590"/>
    <w:rsid w:val="3C0C1E0D"/>
    <w:rsid w:val="3CFA42E9"/>
    <w:rsid w:val="43453B5F"/>
    <w:rsid w:val="4414168E"/>
    <w:rsid w:val="44220490"/>
    <w:rsid w:val="450A6F34"/>
    <w:rsid w:val="47BB51E6"/>
    <w:rsid w:val="4B5517C9"/>
    <w:rsid w:val="4BBD3A49"/>
    <w:rsid w:val="4D872670"/>
    <w:rsid w:val="4E1719B8"/>
    <w:rsid w:val="4E394BEF"/>
    <w:rsid w:val="4E4642A0"/>
    <w:rsid w:val="57CC30F9"/>
    <w:rsid w:val="5AB77C65"/>
    <w:rsid w:val="5AD431A3"/>
    <w:rsid w:val="5B9B4516"/>
    <w:rsid w:val="5BF214AA"/>
    <w:rsid w:val="5C875C42"/>
    <w:rsid w:val="5E1C529A"/>
    <w:rsid w:val="6176591A"/>
    <w:rsid w:val="64105D58"/>
    <w:rsid w:val="662F4487"/>
    <w:rsid w:val="66824361"/>
    <w:rsid w:val="66FA77EB"/>
    <w:rsid w:val="6B422ADC"/>
    <w:rsid w:val="6D8E00C5"/>
    <w:rsid w:val="701636A9"/>
    <w:rsid w:val="703D2A65"/>
    <w:rsid w:val="70532EFC"/>
    <w:rsid w:val="712C26E6"/>
    <w:rsid w:val="74C54B03"/>
    <w:rsid w:val="750715DE"/>
    <w:rsid w:val="78CB575E"/>
    <w:rsid w:val="7C411144"/>
    <w:rsid w:val="7E253985"/>
    <w:rsid w:val="7ED4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8"/>
    <w:autoRedefine/>
    <w:qFormat/>
    <w:uiPriority w:val="0"/>
    <w:pPr>
      <w:keepNext/>
      <w:keepLines/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标题 1 Char"/>
    <w:link w:val="4"/>
    <w:autoRedefine/>
    <w:qFormat/>
    <w:uiPriority w:val="0"/>
    <w:rPr>
      <w:rFonts w:eastAsia="黑体" w:asciiTheme="minorAscii" w:hAnsiTheme="minorAscii"/>
      <w:b/>
      <w:kern w:val="44"/>
      <w:sz w:val="32"/>
    </w:rPr>
  </w:style>
  <w:style w:type="character" w:customStyle="1" w:styleId="9">
    <w:name w:val="NormalCharacter"/>
    <w:autoRedefine/>
    <w:qFormat/>
    <w:uiPriority w:val="0"/>
    <w:rPr>
      <w:rFonts w:ascii="等线" w:hAnsi="等线" w:eastAsia="等线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2024-03-19T08:34:00Z</dcterms:created>
  <dc:creator>罗纹殊</dc:creator>
  <cp:lastModifiedBy>罗纹殊</cp:lastModifiedBy>
  <dcterms:modified xsi:type="dcterms:W3CDTF">2024-03-19T08:35:06Z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10AA2C1080B94099BBB22F2AB963A9BF_11</vt:lpwstr>
  </property>
</Properties>
</file>