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rPr>
          <w:rStyle w:val="9"/>
          <w:rFonts w:ascii="Times New Roman" w:hAnsi="Times New Roman" w:eastAsia="黑体"/>
          <w:sz w:val="32"/>
          <w:szCs w:val="32"/>
        </w:rPr>
      </w:pPr>
      <w:r>
        <w:rPr>
          <w:rStyle w:val="9"/>
          <w:rFonts w:ascii="Times New Roman" w:hAnsi="Times New Roman" w:eastAsia="黑体"/>
          <w:sz w:val="32"/>
          <w:szCs w:val="32"/>
        </w:rPr>
        <w:t>附件1</w:t>
      </w:r>
    </w:p>
    <w:p>
      <w:pPr>
        <w:overflowPunct w:val="0"/>
        <w:topLinePunct/>
        <w:spacing w:line="300" w:lineRule="exact"/>
        <w:rPr>
          <w:rStyle w:val="9"/>
          <w:rFonts w:ascii="Times New Roman" w:hAnsi="Times New Roman" w:eastAsia="黑体"/>
          <w:sz w:val="28"/>
          <w:szCs w:val="32"/>
        </w:rPr>
      </w:pPr>
    </w:p>
    <w:p>
      <w:pPr>
        <w:overflowPunct w:val="0"/>
        <w:topLinePunct/>
        <w:spacing w:line="600" w:lineRule="exact"/>
        <w:jc w:val="center"/>
        <w:outlineLvl w:val="0"/>
        <w:rPr>
          <w:rStyle w:val="9"/>
          <w:rFonts w:ascii="Times New Roman" w:hAnsi="Times New Roman" w:eastAsia="方正小标宋简体"/>
          <w:sz w:val="44"/>
          <w:szCs w:val="32"/>
        </w:rPr>
      </w:pPr>
      <w:r>
        <w:rPr>
          <w:rStyle w:val="9"/>
          <w:rFonts w:hint="eastAsia" w:ascii="Times New Roman" w:hAnsi="Times New Roman" w:eastAsia="方正小标宋简体"/>
          <w:sz w:val="44"/>
          <w:szCs w:val="32"/>
        </w:rPr>
        <w:t>2023年1</w:t>
      </w:r>
      <w:r>
        <w:rPr>
          <w:rFonts w:hint="eastAsia" w:ascii="Times New Roman" w:hAnsi="Times New Roman" w:eastAsia="仿宋_GB2312"/>
          <w:sz w:val="32"/>
          <w:szCs w:val="20"/>
        </w:rPr>
        <w:t>—</w:t>
      </w:r>
      <w:r>
        <w:rPr>
          <w:rStyle w:val="9"/>
          <w:rFonts w:ascii="Times New Roman" w:hAnsi="Times New Roman" w:eastAsia="方正小标宋简体"/>
          <w:sz w:val="44"/>
          <w:szCs w:val="32"/>
        </w:rPr>
        <w:t>1</w:t>
      </w:r>
      <w:r>
        <w:rPr>
          <w:rStyle w:val="9"/>
          <w:rFonts w:hint="eastAsia" w:ascii="Times New Roman" w:hAnsi="Times New Roman" w:eastAsia="方正小标宋简体"/>
          <w:sz w:val="44"/>
          <w:szCs w:val="32"/>
        </w:rPr>
        <w:t>1月全省PM</w:t>
      </w:r>
      <w:r>
        <w:rPr>
          <w:rStyle w:val="9"/>
          <w:rFonts w:hint="eastAsia" w:ascii="Times New Roman" w:hAnsi="Times New Roman" w:eastAsia="方正小标宋简体"/>
          <w:sz w:val="44"/>
          <w:szCs w:val="32"/>
          <w:vertAlign w:val="subscript"/>
        </w:rPr>
        <w:t>2.5</w:t>
      </w:r>
      <w:r>
        <w:rPr>
          <w:rStyle w:val="9"/>
          <w:rFonts w:hint="eastAsia" w:ascii="Times New Roman" w:hAnsi="Times New Roman" w:eastAsia="方正小标宋简体"/>
          <w:sz w:val="44"/>
          <w:szCs w:val="32"/>
        </w:rPr>
        <w:t>、优良天数率变化情况</w:t>
      </w:r>
    </w:p>
    <w:p>
      <w:pPr>
        <w:pStyle w:val="5"/>
        <w:spacing w:after="0" w:line="300" w:lineRule="exact"/>
        <w:rPr>
          <w:rFonts w:ascii="Times New Roman" w:hAnsi="Times New Roman"/>
        </w:rPr>
      </w:pP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25"/>
        <w:gridCol w:w="1177"/>
        <w:gridCol w:w="1505"/>
        <w:gridCol w:w="1395"/>
        <w:gridCol w:w="1361"/>
        <w:gridCol w:w="1275"/>
        <w:gridCol w:w="1376"/>
        <w:gridCol w:w="1331"/>
        <w:gridCol w:w="1482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区域</w:t>
            </w:r>
          </w:p>
        </w:tc>
        <w:tc>
          <w:tcPr>
            <w:tcW w:w="1138" w:type="dxa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市（州）</w:t>
            </w:r>
          </w:p>
        </w:tc>
        <w:tc>
          <w:tcPr>
            <w:tcW w:w="4120" w:type="dxa"/>
            <w:gridSpan w:val="3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PM</w:t>
            </w:r>
            <w:r>
              <w:rPr>
                <w:rFonts w:ascii="Times New Roman" w:hAnsi="Times New Roman" w:eastAsia="黑体"/>
                <w:bCs/>
                <w:kern w:val="0"/>
                <w:sz w:val="24"/>
                <w:vertAlign w:val="subscript"/>
              </w:rPr>
              <w:t>2.5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优良天数率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重污染天数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</w:p>
        </w:tc>
        <w:tc>
          <w:tcPr>
            <w:tcW w:w="113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浓度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（μ</w:t>
            </w:r>
            <w:r>
              <w:rPr>
                <w:rStyle w:val="9"/>
                <w:rFonts w:ascii="Times New Roman" w:hAnsi="Times New Roman" w:eastAsia="黑体"/>
                <w:sz w:val="24"/>
              </w:rPr>
              <w:t>g/m</w:t>
            </w:r>
            <w:r>
              <w:rPr>
                <w:rStyle w:val="9"/>
                <w:rFonts w:ascii="Times New Roman" w:hAnsi="Times New Roman" w:eastAsia="黑体"/>
                <w:sz w:val="24"/>
                <w:vertAlign w:val="superscript"/>
              </w:rPr>
              <w:t>3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）</w:t>
            </w:r>
          </w:p>
        </w:tc>
        <w:tc>
          <w:tcPr>
            <w:tcW w:w="1349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同比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sz w:val="32"/>
                <w:szCs w:val="20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2022年</w:t>
            </w:r>
          </w:p>
        </w:tc>
        <w:tc>
          <w:tcPr>
            <w:tcW w:w="1316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同比</w:t>
            </w:r>
          </w:p>
          <w:p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三年均值</w:t>
            </w:r>
          </w:p>
        </w:tc>
        <w:tc>
          <w:tcPr>
            <w:tcW w:w="1233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实测值</w:t>
            </w:r>
            <w:bookmarkStart w:id="0" w:name="_GoBack"/>
            <w:bookmarkEnd w:id="0"/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（%）</w:t>
            </w:r>
          </w:p>
        </w:tc>
        <w:tc>
          <w:tcPr>
            <w:tcW w:w="1330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同比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2022年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/>
                <w:sz w:val="32"/>
                <w:szCs w:val="20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（百分点）</w:t>
            </w:r>
          </w:p>
        </w:tc>
        <w:tc>
          <w:tcPr>
            <w:tcW w:w="1287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同比</w:t>
            </w:r>
          </w:p>
          <w:p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三年均值</w:t>
            </w:r>
            <w:r>
              <w:rPr>
                <w:rFonts w:ascii="Times New Roman" w:hAnsi="Times New Roman" w:eastAsia="黑体"/>
                <w:bCs/>
                <w:kern w:val="0"/>
                <w:sz w:val="24"/>
              </w:rPr>
              <w:t>（百分点）</w:t>
            </w:r>
          </w:p>
        </w:tc>
        <w:tc>
          <w:tcPr>
            <w:tcW w:w="1433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重污染天数</w:t>
            </w:r>
          </w:p>
        </w:tc>
        <w:tc>
          <w:tcPr>
            <w:tcW w:w="1335" w:type="dxa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同比2022年（天）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成都平原地区</w:t>
            </w: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7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成都市</w:t>
            </w:r>
          </w:p>
        </w:tc>
        <w:tc>
          <w:tcPr>
            <w:tcW w:w="1455" w:type="dxa"/>
            <w:noWrap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36.1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-3.2%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-5.0%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79.9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3.3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-0.9</w:t>
            </w:r>
          </w:p>
        </w:tc>
        <w:tc>
          <w:tcPr>
            <w:tcW w:w="1433" w:type="dxa"/>
            <w:noWrap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7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德阳市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38.1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16.2%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8.2%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76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-7.5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-7.9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7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绵阳市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34.3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5.9%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3.9%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81.4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-8.1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-8.4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7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遂宁市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28.1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-0.7%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87.7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-4.2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-5.9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7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乐山市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37.1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-3.1%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3.6%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82.6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-1.2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-4.2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7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眉山市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34.4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-4.4%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9.2%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79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1.8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-8.4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7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雅安市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28.4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4.8%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8.8%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89.8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-3.6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-5.1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7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资阳市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31.9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3.9%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10.8%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82.9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-3.3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-6.1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7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平均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33.6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2.4%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4.7%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82.4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-2.9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-5.9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1.0 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川南地区</w:t>
            </w: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7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自贡市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40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9.9%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-3.1%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79.3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-2.4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-1.9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7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泸州市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40.7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8.5%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6.3%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81.7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-0.9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-4.1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7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内江市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37.4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25.9%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14.0%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81.7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-3.3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-6.7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7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宜宾市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41.5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4.3%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1.2%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76.9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-1.5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-5.6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37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平均</w:t>
            </w:r>
          </w:p>
        </w:tc>
        <w:tc>
          <w:tcPr>
            <w:tcW w:w="145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39.9</w:t>
            </w:r>
          </w:p>
        </w:tc>
        <w:tc>
          <w:tcPr>
            <w:tcW w:w="1349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11.5%</w:t>
            </w:r>
          </w:p>
        </w:tc>
        <w:tc>
          <w:tcPr>
            <w:tcW w:w="1316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4.2%</w:t>
            </w:r>
          </w:p>
        </w:tc>
        <w:tc>
          <w:tcPr>
            <w:tcW w:w="12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79.9</w:t>
            </w:r>
          </w:p>
        </w:tc>
        <w:tc>
          <w:tcPr>
            <w:tcW w:w="1330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</w:t>
            </w:r>
          </w:p>
        </w:tc>
        <w:tc>
          <w:tcPr>
            <w:tcW w:w="1287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-4.6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2.5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2.3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川东北</w:t>
            </w:r>
          </w:p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地区</w:t>
            </w: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广元市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</w:t>
            </w:r>
          </w:p>
        </w:tc>
        <w:tc>
          <w:tcPr>
            <w:tcW w:w="13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3.9%</w:t>
            </w:r>
          </w:p>
        </w:tc>
        <w:tc>
          <w:tcPr>
            <w:tcW w:w="131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0.0%</w:t>
            </w:r>
          </w:p>
        </w:tc>
        <w:tc>
          <w:tcPr>
            <w:tcW w:w="12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95.5</w:t>
            </w:r>
          </w:p>
        </w:tc>
        <w:tc>
          <w:tcPr>
            <w:tcW w:w="133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</w:t>
            </w: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-1.6</w:t>
            </w:r>
          </w:p>
        </w:tc>
        <w:tc>
          <w:tcPr>
            <w:tcW w:w="14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南充市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34.2</w:t>
            </w:r>
          </w:p>
        </w:tc>
        <w:tc>
          <w:tcPr>
            <w:tcW w:w="13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3.0%</w:t>
            </w:r>
          </w:p>
        </w:tc>
        <w:tc>
          <w:tcPr>
            <w:tcW w:w="131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-6.0%</w:t>
            </w:r>
          </w:p>
        </w:tc>
        <w:tc>
          <w:tcPr>
            <w:tcW w:w="12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87.4</w:t>
            </w:r>
          </w:p>
        </w:tc>
        <w:tc>
          <w:tcPr>
            <w:tcW w:w="133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-8.7</w:t>
            </w: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-5.8</w:t>
            </w:r>
          </w:p>
        </w:tc>
        <w:tc>
          <w:tcPr>
            <w:tcW w:w="14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广安市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37.1</w:t>
            </w:r>
          </w:p>
        </w:tc>
        <w:tc>
          <w:tcPr>
            <w:tcW w:w="13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20.1%</w:t>
            </w:r>
          </w:p>
        </w:tc>
        <w:tc>
          <w:tcPr>
            <w:tcW w:w="131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19.3%</w:t>
            </w:r>
          </w:p>
        </w:tc>
        <w:tc>
          <w:tcPr>
            <w:tcW w:w="12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86.5</w:t>
            </w:r>
          </w:p>
        </w:tc>
        <w:tc>
          <w:tcPr>
            <w:tcW w:w="133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-6.9</w:t>
            </w: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-4.1</w:t>
            </w:r>
          </w:p>
        </w:tc>
        <w:tc>
          <w:tcPr>
            <w:tcW w:w="14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达州市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28.4</w:t>
            </w:r>
          </w:p>
        </w:tc>
        <w:tc>
          <w:tcPr>
            <w:tcW w:w="13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4.8%</w:t>
            </w:r>
          </w:p>
        </w:tc>
        <w:tc>
          <w:tcPr>
            <w:tcW w:w="131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-24.7%</w:t>
            </w:r>
          </w:p>
        </w:tc>
        <w:tc>
          <w:tcPr>
            <w:tcW w:w="12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91.9</w:t>
            </w:r>
          </w:p>
        </w:tc>
        <w:tc>
          <w:tcPr>
            <w:tcW w:w="133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-4.2</w:t>
            </w: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2.8</w:t>
            </w:r>
          </w:p>
        </w:tc>
        <w:tc>
          <w:tcPr>
            <w:tcW w:w="14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巴中市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27.5</w:t>
            </w:r>
          </w:p>
        </w:tc>
        <w:tc>
          <w:tcPr>
            <w:tcW w:w="13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8.7%</w:t>
            </w:r>
          </w:p>
        </w:tc>
        <w:tc>
          <w:tcPr>
            <w:tcW w:w="131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0.4%</w:t>
            </w:r>
          </w:p>
        </w:tc>
        <w:tc>
          <w:tcPr>
            <w:tcW w:w="12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94.6</w:t>
            </w:r>
          </w:p>
        </w:tc>
        <w:tc>
          <w:tcPr>
            <w:tcW w:w="133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-3.9</w:t>
            </w: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-1.5</w:t>
            </w:r>
          </w:p>
        </w:tc>
        <w:tc>
          <w:tcPr>
            <w:tcW w:w="14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平均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30.2</w:t>
            </w:r>
          </w:p>
        </w:tc>
        <w:tc>
          <w:tcPr>
            <w:tcW w:w="13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8.2%</w:t>
            </w:r>
          </w:p>
        </w:tc>
        <w:tc>
          <w:tcPr>
            <w:tcW w:w="131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-3.5%</w:t>
            </w:r>
          </w:p>
        </w:tc>
        <w:tc>
          <w:tcPr>
            <w:tcW w:w="12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91.2</w:t>
            </w:r>
          </w:p>
        </w:tc>
        <w:tc>
          <w:tcPr>
            <w:tcW w:w="133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-5.3</w:t>
            </w: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</w:t>
            </w:r>
          </w:p>
        </w:tc>
        <w:tc>
          <w:tcPr>
            <w:tcW w:w="14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2.2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攀西高原地区</w:t>
            </w: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攀枝花市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26.9</w:t>
            </w:r>
          </w:p>
        </w:tc>
        <w:tc>
          <w:tcPr>
            <w:tcW w:w="13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0.7%</w:t>
            </w:r>
          </w:p>
        </w:tc>
        <w:tc>
          <w:tcPr>
            <w:tcW w:w="131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-6.6%</w:t>
            </w:r>
          </w:p>
        </w:tc>
        <w:tc>
          <w:tcPr>
            <w:tcW w:w="12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97</w:t>
            </w:r>
          </w:p>
        </w:tc>
        <w:tc>
          <w:tcPr>
            <w:tcW w:w="133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-2.1</w:t>
            </w: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-0.8</w:t>
            </w:r>
          </w:p>
        </w:tc>
        <w:tc>
          <w:tcPr>
            <w:tcW w:w="14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凉山州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20.9</w:t>
            </w:r>
          </w:p>
        </w:tc>
        <w:tc>
          <w:tcPr>
            <w:tcW w:w="13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3.0%</w:t>
            </w:r>
          </w:p>
        </w:tc>
        <w:tc>
          <w:tcPr>
            <w:tcW w:w="131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8.3%</w:t>
            </w:r>
          </w:p>
        </w:tc>
        <w:tc>
          <w:tcPr>
            <w:tcW w:w="12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96.7</w:t>
            </w:r>
          </w:p>
        </w:tc>
        <w:tc>
          <w:tcPr>
            <w:tcW w:w="133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-0.9</w:t>
            </w: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-1.6</w:t>
            </w:r>
          </w:p>
        </w:tc>
        <w:tc>
          <w:tcPr>
            <w:tcW w:w="14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川西高原地区</w:t>
            </w: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阿坝州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13.2</w:t>
            </w:r>
          </w:p>
        </w:tc>
        <w:tc>
          <w:tcPr>
            <w:tcW w:w="13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33.3%</w:t>
            </w:r>
          </w:p>
        </w:tc>
        <w:tc>
          <w:tcPr>
            <w:tcW w:w="131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-14.3%</w:t>
            </w:r>
          </w:p>
        </w:tc>
        <w:tc>
          <w:tcPr>
            <w:tcW w:w="12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100</w:t>
            </w:r>
          </w:p>
        </w:tc>
        <w:tc>
          <w:tcPr>
            <w:tcW w:w="133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4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甘孜州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7.3</w:t>
            </w:r>
          </w:p>
        </w:tc>
        <w:tc>
          <w:tcPr>
            <w:tcW w:w="13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-13.1%</w:t>
            </w:r>
          </w:p>
        </w:tc>
        <w:tc>
          <w:tcPr>
            <w:tcW w:w="131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-17.0%</w:t>
            </w:r>
          </w:p>
        </w:tc>
        <w:tc>
          <w:tcPr>
            <w:tcW w:w="12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100</w:t>
            </w:r>
          </w:p>
        </w:tc>
        <w:tc>
          <w:tcPr>
            <w:tcW w:w="133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4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2806" w:type="dxa"/>
            <w:gridSpan w:val="2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重点城市</w:t>
            </w:r>
          </w:p>
        </w:tc>
        <w:tc>
          <w:tcPr>
            <w:tcW w:w="145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35.2</w:t>
            </w:r>
          </w:p>
        </w:tc>
        <w:tc>
          <w:tcPr>
            <w:tcW w:w="13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6.3%</w:t>
            </w:r>
          </w:p>
        </w:tc>
        <w:tc>
          <w:tcPr>
            <w:tcW w:w="131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2.6%</w:t>
            </w:r>
          </w:p>
        </w:tc>
        <w:tc>
          <w:tcPr>
            <w:tcW w:w="12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83</w:t>
            </w:r>
          </w:p>
        </w:tc>
        <w:tc>
          <w:tcPr>
            <w:tcW w:w="133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-3.4</w:t>
            </w: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-4.8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335" w:type="dxa"/>
            <w:noWrap/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2806" w:type="dxa"/>
            <w:gridSpan w:val="2"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  <w:t>全省</w:t>
            </w:r>
          </w:p>
        </w:tc>
        <w:tc>
          <w:tcPr>
            <w:tcW w:w="145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30.8</w:t>
            </w:r>
          </w:p>
        </w:tc>
        <w:tc>
          <w:tcPr>
            <w:tcW w:w="134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5.8%</w:t>
            </w:r>
          </w:p>
        </w:tc>
        <w:tc>
          <w:tcPr>
            <w:tcW w:w="131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1.3%</w:t>
            </w:r>
          </w:p>
        </w:tc>
        <w:tc>
          <w:tcPr>
            <w:tcW w:w="123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87.1</w:t>
            </w:r>
          </w:p>
        </w:tc>
        <w:tc>
          <w:tcPr>
            <w:tcW w:w="133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-2.9</w:t>
            </w:r>
          </w:p>
        </w:tc>
        <w:tc>
          <w:tcPr>
            <w:tcW w:w="128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-3.7</w:t>
            </w:r>
          </w:p>
        </w:tc>
        <w:tc>
          <w:tcPr>
            <w:tcW w:w="1433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335" w:type="dxa"/>
            <w:noWrap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</w:tr>
    </w:tbl>
    <w:p>
      <w:pPr>
        <w:overflowPunct w:val="0"/>
        <w:topLinePunct/>
        <w:spacing w:line="400" w:lineRule="exact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备注：1．重点城市是指全国168个重点城市中我省的15个市。</w:t>
      </w:r>
    </w:p>
    <w:p>
      <w:pPr>
        <w:numPr>
          <w:ilvl w:val="0"/>
          <w:numId w:val="1"/>
        </w:numPr>
        <w:overflowPunct w:val="0"/>
        <w:topLinePunct/>
        <w:spacing w:line="400" w:lineRule="exact"/>
        <w:ind w:firstLine="720" w:firstLineChars="3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三年均值指2019—2021年同期平均值。</w:t>
      </w:r>
    </w:p>
    <w:p>
      <w:pPr>
        <w:numPr>
          <w:ilvl w:val="0"/>
          <w:numId w:val="1"/>
        </w:numPr>
        <w:overflowPunct w:val="0"/>
        <w:topLinePunct/>
        <w:spacing w:line="400" w:lineRule="exact"/>
        <w:ind w:firstLine="720" w:firstLineChars="3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</w:rPr>
        <w:t>数据来源为国控站实测数据。</w:t>
      </w:r>
    </w:p>
    <w:p>
      <w:r>
        <w:rPr>
          <w:rStyle w:val="9"/>
          <w:rFonts w:ascii="Times New Roman" w:hAnsi="Times New Roman" w:eastAsia="黑体"/>
          <w:szCs w:val="32"/>
        </w:rPr>
        <w:br w:type="page"/>
      </w:r>
    </w:p>
    <w:sectPr>
      <w:pgSz w:w="16838" w:h="11906" w:orient="landscape"/>
      <w:pgMar w:top="1800" w:right="1440" w:bottom="17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283" w:usb1="180F0C1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lYjhkM2VhNmZhNGZkZGVlZTE1NzQ3MzA2NWMwNGUifQ=="/>
  </w:docVars>
  <w:rsids>
    <w:rsidRoot w:val="38DA0B8A"/>
    <w:rsid w:val="002F061A"/>
    <w:rsid w:val="01787511"/>
    <w:rsid w:val="01D9734C"/>
    <w:rsid w:val="04B63A89"/>
    <w:rsid w:val="088A1DAF"/>
    <w:rsid w:val="08FB5784"/>
    <w:rsid w:val="0C426909"/>
    <w:rsid w:val="0DB80779"/>
    <w:rsid w:val="0ED075D4"/>
    <w:rsid w:val="10F51620"/>
    <w:rsid w:val="120945FF"/>
    <w:rsid w:val="145F691E"/>
    <w:rsid w:val="18CE0171"/>
    <w:rsid w:val="193C0AB6"/>
    <w:rsid w:val="1A0B1C81"/>
    <w:rsid w:val="1B050932"/>
    <w:rsid w:val="1B576919"/>
    <w:rsid w:val="1F457A4F"/>
    <w:rsid w:val="1F8029DD"/>
    <w:rsid w:val="24997352"/>
    <w:rsid w:val="25056126"/>
    <w:rsid w:val="257D2E0C"/>
    <w:rsid w:val="265768A7"/>
    <w:rsid w:val="272E08F4"/>
    <w:rsid w:val="27557ECB"/>
    <w:rsid w:val="29687186"/>
    <w:rsid w:val="2A1C736D"/>
    <w:rsid w:val="2DA000F1"/>
    <w:rsid w:val="2FA21C17"/>
    <w:rsid w:val="34052A5B"/>
    <w:rsid w:val="34DF305F"/>
    <w:rsid w:val="352A1150"/>
    <w:rsid w:val="355A43E9"/>
    <w:rsid w:val="36D5294F"/>
    <w:rsid w:val="370B383C"/>
    <w:rsid w:val="38DA0B8A"/>
    <w:rsid w:val="39252C44"/>
    <w:rsid w:val="3A1A7E0D"/>
    <w:rsid w:val="3ABE40D8"/>
    <w:rsid w:val="3ADF1590"/>
    <w:rsid w:val="3C0C1E0D"/>
    <w:rsid w:val="3CFA42E9"/>
    <w:rsid w:val="43453B5F"/>
    <w:rsid w:val="4414168E"/>
    <w:rsid w:val="44220490"/>
    <w:rsid w:val="450A6F34"/>
    <w:rsid w:val="47BB51E6"/>
    <w:rsid w:val="4B5517C9"/>
    <w:rsid w:val="4BBD3A49"/>
    <w:rsid w:val="4E1719B8"/>
    <w:rsid w:val="4E394BEF"/>
    <w:rsid w:val="4E4642A0"/>
    <w:rsid w:val="57CC30F9"/>
    <w:rsid w:val="5AB77C65"/>
    <w:rsid w:val="5AD431A3"/>
    <w:rsid w:val="5B9B4516"/>
    <w:rsid w:val="5BF214AA"/>
    <w:rsid w:val="5C875C42"/>
    <w:rsid w:val="5E1C529A"/>
    <w:rsid w:val="6176591A"/>
    <w:rsid w:val="64105D58"/>
    <w:rsid w:val="662F4487"/>
    <w:rsid w:val="66824361"/>
    <w:rsid w:val="66FA77EB"/>
    <w:rsid w:val="6B422ADC"/>
    <w:rsid w:val="6D8E00C5"/>
    <w:rsid w:val="701636A9"/>
    <w:rsid w:val="703D2A65"/>
    <w:rsid w:val="70532EFC"/>
    <w:rsid w:val="712C26E6"/>
    <w:rsid w:val="74C54B03"/>
    <w:rsid w:val="750715DE"/>
    <w:rsid w:val="78CB575E"/>
    <w:rsid w:val="7C411144"/>
    <w:rsid w:val="7E253985"/>
    <w:rsid w:val="7ED4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uiPriority w:val="0"/>
    <w:pPr>
      <w:keepNext/>
      <w:keepLines/>
      <w:spacing w:before="100" w:beforeLines="0" w:beforeAutospacing="0" w:after="9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next w:val="1"/>
    <w:qFormat/>
    <w:uiPriority w:val="0"/>
    <w:pPr>
      <w:ind w:firstLine="420" w:firstLineChars="200"/>
    </w:pPr>
  </w:style>
  <w:style w:type="character" w:customStyle="1" w:styleId="8">
    <w:name w:val="标题 1 Char"/>
    <w:link w:val="2"/>
    <w:autoRedefine/>
    <w:qFormat/>
    <w:uiPriority w:val="0"/>
    <w:rPr>
      <w:rFonts w:eastAsia="黑体" w:asciiTheme="minorAscii" w:hAnsiTheme="minorAscii"/>
      <w:b/>
      <w:kern w:val="44"/>
      <w:sz w:val="32"/>
    </w:rPr>
  </w:style>
  <w:style w:type="character" w:customStyle="1" w:styleId="9">
    <w:name w:val="NormalCharacter"/>
    <w:autoRedefine/>
    <w:qFormat/>
    <w:uiPriority w:val="0"/>
    <w:rPr>
      <w:rFonts w:ascii="等线" w:hAnsi="等线" w:eastAsia="等线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2024-01-24T02:59:00Z</dcterms:created>
  <dc:creator>罗纹殊</dc:creator>
  <cp:lastModifiedBy>罗纹殊</cp:lastModifiedBy>
  <dcterms:modified xsi:type="dcterms:W3CDTF">2024-01-24T02:59:58Z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44A7E6EE2D134961BDC3A893262551DE_11</vt:lpwstr>
  </property>
</Properties>
</file>