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600" w:lineRule="exact"/>
        <w:rPr>
          <w:rStyle w:val="9"/>
          <w:rFonts w:ascii="Times New Roman" w:hAnsi="Times New Roman" w:eastAsia="黑体"/>
          <w:sz w:val="32"/>
          <w:szCs w:val="32"/>
        </w:rPr>
      </w:pPr>
      <w:r>
        <w:rPr>
          <w:rStyle w:val="9"/>
          <w:rFonts w:ascii="Times New Roman" w:hAnsi="Times New Roman" w:eastAsia="黑体"/>
          <w:sz w:val="32"/>
          <w:szCs w:val="32"/>
        </w:rPr>
        <w:t>附件1</w:t>
      </w:r>
    </w:p>
    <w:p>
      <w:pPr>
        <w:overflowPunct w:val="0"/>
        <w:topLinePunct/>
        <w:spacing w:line="300" w:lineRule="exact"/>
        <w:rPr>
          <w:rStyle w:val="9"/>
          <w:rFonts w:ascii="Times New Roman" w:hAnsi="Times New Roman" w:eastAsia="黑体"/>
          <w:sz w:val="28"/>
          <w:szCs w:val="32"/>
        </w:rPr>
      </w:pPr>
    </w:p>
    <w:p>
      <w:pPr>
        <w:overflowPunct w:val="0"/>
        <w:topLinePunct/>
        <w:spacing w:line="600" w:lineRule="exact"/>
        <w:jc w:val="center"/>
        <w:outlineLvl w:val="0"/>
        <w:rPr>
          <w:rStyle w:val="9"/>
          <w:rFonts w:ascii="Times New Roman" w:hAnsi="Times New Roman" w:eastAsia="方正小标宋简体"/>
          <w:sz w:val="44"/>
          <w:szCs w:val="32"/>
        </w:rPr>
      </w:pPr>
      <w:r>
        <w:rPr>
          <w:rStyle w:val="9"/>
          <w:rFonts w:hint="eastAsia" w:ascii="Times New Roman" w:hAnsi="Times New Roman" w:eastAsia="方正小标宋简体"/>
          <w:sz w:val="44"/>
          <w:szCs w:val="32"/>
        </w:rPr>
        <w:t>2023年1</w:t>
      </w:r>
      <w:r>
        <w:rPr>
          <w:rFonts w:hint="eastAsia" w:ascii="Times New Roman" w:hAnsi="Times New Roman" w:eastAsia="仿宋_GB2312"/>
          <w:sz w:val="32"/>
          <w:szCs w:val="20"/>
        </w:rPr>
        <w:t>—</w:t>
      </w:r>
      <w:r>
        <w:rPr>
          <w:rStyle w:val="9"/>
          <w:rFonts w:ascii="Times New Roman" w:hAnsi="Times New Roman" w:eastAsia="方正小标宋简体"/>
          <w:sz w:val="44"/>
          <w:szCs w:val="32"/>
        </w:rPr>
        <w:t>1</w:t>
      </w:r>
      <w:r>
        <w:rPr>
          <w:rStyle w:val="9"/>
          <w:rFonts w:hint="eastAsia" w:ascii="Times New Roman" w:hAnsi="Times New Roman" w:eastAsia="方正小标宋简体"/>
          <w:sz w:val="44"/>
          <w:szCs w:val="32"/>
        </w:rPr>
        <w:t>1月全省PM</w:t>
      </w:r>
      <w:r>
        <w:rPr>
          <w:rStyle w:val="9"/>
          <w:rFonts w:hint="eastAsia" w:ascii="Times New Roman" w:hAnsi="Times New Roman" w:eastAsia="方正小标宋简体"/>
          <w:sz w:val="44"/>
          <w:szCs w:val="32"/>
          <w:vertAlign w:val="subscript"/>
        </w:rPr>
        <w:t>2.5</w:t>
      </w:r>
      <w:r>
        <w:rPr>
          <w:rStyle w:val="9"/>
          <w:rFonts w:hint="eastAsia" w:ascii="Times New Roman" w:hAnsi="Times New Roman" w:eastAsia="方正小标宋简体"/>
          <w:sz w:val="44"/>
          <w:szCs w:val="32"/>
        </w:rPr>
        <w:t>、优良天数率变化情况</w:t>
      </w:r>
    </w:p>
    <w:p>
      <w:pPr>
        <w:pStyle w:val="5"/>
        <w:spacing w:after="0" w:line="300" w:lineRule="exact"/>
        <w:rPr>
          <w:rFonts w:ascii="Times New Roman" w:hAnsi="Times New Roman"/>
        </w:rPr>
      </w:pP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25"/>
        <w:gridCol w:w="1177"/>
        <w:gridCol w:w="1505"/>
        <w:gridCol w:w="1395"/>
        <w:gridCol w:w="1361"/>
        <w:gridCol w:w="1275"/>
        <w:gridCol w:w="1376"/>
        <w:gridCol w:w="1331"/>
        <w:gridCol w:w="1482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tblHeader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区域</w:t>
            </w:r>
          </w:p>
        </w:tc>
        <w:tc>
          <w:tcPr>
            <w:tcW w:w="1138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市（州）</w:t>
            </w:r>
          </w:p>
        </w:tc>
        <w:tc>
          <w:tcPr>
            <w:tcW w:w="4120" w:type="dxa"/>
            <w:gridSpan w:val="3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PM</w:t>
            </w:r>
            <w:r>
              <w:rPr>
                <w:rFonts w:ascii="Times New Roman" w:hAnsi="Times New Roman" w:eastAsia="黑体"/>
                <w:bCs/>
                <w:kern w:val="0"/>
                <w:sz w:val="24"/>
                <w:vertAlign w:val="subscript"/>
              </w:rPr>
              <w:t>2.5</w:t>
            </w:r>
          </w:p>
        </w:tc>
        <w:tc>
          <w:tcPr>
            <w:tcW w:w="3850" w:type="dxa"/>
            <w:gridSpan w:val="3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优良天数率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重污染天数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tblHeader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浓度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（μ</w:t>
            </w:r>
            <w:r>
              <w:rPr>
                <w:rStyle w:val="9"/>
                <w:rFonts w:ascii="Times New Roman" w:hAnsi="Times New Roman" w:eastAsia="黑体"/>
                <w:sz w:val="24"/>
              </w:rPr>
              <w:t>g/m</w:t>
            </w:r>
            <w:r>
              <w:rPr>
                <w:rStyle w:val="9"/>
                <w:rFonts w:ascii="Times New Roman" w:hAnsi="Times New Roman" w:eastAsia="黑体"/>
                <w:sz w:val="24"/>
                <w:vertAlign w:val="superscript"/>
              </w:rPr>
              <w:t>3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）</w:t>
            </w:r>
          </w:p>
        </w:tc>
        <w:tc>
          <w:tcPr>
            <w:tcW w:w="134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同比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sz w:val="32"/>
                <w:szCs w:val="20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2022年</w:t>
            </w:r>
          </w:p>
        </w:tc>
        <w:tc>
          <w:tcPr>
            <w:tcW w:w="1316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同比</w:t>
            </w:r>
          </w:p>
          <w:p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三年均值</w:t>
            </w:r>
          </w:p>
        </w:tc>
        <w:tc>
          <w:tcPr>
            <w:tcW w:w="1233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实测值</w:t>
            </w:r>
            <w:bookmarkStart w:id="0" w:name="_GoBack"/>
            <w:bookmarkEnd w:id="0"/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（%）</w:t>
            </w:r>
          </w:p>
        </w:tc>
        <w:tc>
          <w:tcPr>
            <w:tcW w:w="133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同比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2022年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sz w:val="32"/>
                <w:szCs w:val="20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（百分点）</w:t>
            </w:r>
          </w:p>
        </w:tc>
        <w:tc>
          <w:tcPr>
            <w:tcW w:w="1287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同比</w:t>
            </w:r>
          </w:p>
          <w:p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三年均值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（百分点）</w:t>
            </w:r>
          </w:p>
        </w:tc>
        <w:tc>
          <w:tcPr>
            <w:tcW w:w="1433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重污染天数</w:t>
            </w:r>
          </w:p>
        </w:tc>
        <w:tc>
          <w:tcPr>
            <w:tcW w:w="133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同比2022年（天）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成都平原地区</w:t>
            </w: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7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成都市</w:t>
            </w:r>
          </w:p>
        </w:tc>
        <w:tc>
          <w:tcPr>
            <w:tcW w:w="1455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36.1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-3.2%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-5.0%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79.9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3.3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-0.9</w:t>
            </w:r>
          </w:p>
        </w:tc>
        <w:tc>
          <w:tcPr>
            <w:tcW w:w="1433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7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德阳市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38.1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16.2%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8.2%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76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-7.5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-7.9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7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绵阳市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34.3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5.9%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3.9%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81.4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-8.1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-8.4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7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遂宁市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28.1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-0.7%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87.7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-4.2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-5.9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7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乐山市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37.1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-3.1%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3.6%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82.6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-1.2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-4.2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7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眉山市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34.4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-4.4%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9.2%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79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1.8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-8.4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7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雅安市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28.4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4.8%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8.8%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89.8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-3.6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-5.1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7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资阳市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31.9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3.9%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10.8%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82.9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-3.3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-6.1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7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平均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33.6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2.4%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4.7%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82.4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-2.9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-5.9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1.0 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川南地区</w:t>
            </w: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7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自贡市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40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9.9%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-3.1%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79.3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-2.4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-1.9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7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泸州市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40.7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8.5%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6.3%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81.7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-0.9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-4.1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7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内江市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37.4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25.9%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14.0%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81.7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-3.3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-6.7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7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宜宾市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41.5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4.3%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1.2%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76.9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-1.5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-5.6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7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平均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39.9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11.5%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4.2%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79.9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-4.6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2.5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2.3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川东北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地区</w:t>
            </w: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广元市</w:t>
            </w:r>
          </w:p>
        </w:tc>
        <w:tc>
          <w:tcPr>
            <w:tcW w:w="145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</w:t>
            </w:r>
          </w:p>
        </w:tc>
        <w:tc>
          <w:tcPr>
            <w:tcW w:w="13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3.9%</w:t>
            </w:r>
          </w:p>
        </w:tc>
        <w:tc>
          <w:tcPr>
            <w:tcW w:w="131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0.0%</w:t>
            </w:r>
          </w:p>
        </w:tc>
        <w:tc>
          <w:tcPr>
            <w:tcW w:w="123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95.5</w:t>
            </w:r>
          </w:p>
        </w:tc>
        <w:tc>
          <w:tcPr>
            <w:tcW w:w="133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</w:t>
            </w: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-1.6</w:t>
            </w:r>
          </w:p>
        </w:tc>
        <w:tc>
          <w:tcPr>
            <w:tcW w:w="143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南充市</w:t>
            </w:r>
          </w:p>
        </w:tc>
        <w:tc>
          <w:tcPr>
            <w:tcW w:w="145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34.2</w:t>
            </w:r>
          </w:p>
        </w:tc>
        <w:tc>
          <w:tcPr>
            <w:tcW w:w="13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3.0%</w:t>
            </w:r>
          </w:p>
        </w:tc>
        <w:tc>
          <w:tcPr>
            <w:tcW w:w="131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-6.0%</w:t>
            </w:r>
          </w:p>
        </w:tc>
        <w:tc>
          <w:tcPr>
            <w:tcW w:w="123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87.4</w:t>
            </w:r>
          </w:p>
        </w:tc>
        <w:tc>
          <w:tcPr>
            <w:tcW w:w="133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-8.7</w:t>
            </w: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-5.8</w:t>
            </w:r>
          </w:p>
        </w:tc>
        <w:tc>
          <w:tcPr>
            <w:tcW w:w="143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广安市</w:t>
            </w:r>
          </w:p>
        </w:tc>
        <w:tc>
          <w:tcPr>
            <w:tcW w:w="145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37.1</w:t>
            </w:r>
          </w:p>
        </w:tc>
        <w:tc>
          <w:tcPr>
            <w:tcW w:w="13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20.1%</w:t>
            </w:r>
          </w:p>
        </w:tc>
        <w:tc>
          <w:tcPr>
            <w:tcW w:w="131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19.3%</w:t>
            </w:r>
          </w:p>
        </w:tc>
        <w:tc>
          <w:tcPr>
            <w:tcW w:w="123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86.5</w:t>
            </w:r>
          </w:p>
        </w:tc>
        <w:tc>
          <w:tcPr>
            <w:tcW w:w="133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-6.9</w:t>
            </w: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-4.1</w:t>
            </w:r>
          </w:p>
        </w:tc>
        <w:tc>
          <w:tcPr>
            <w:tcW w:w="143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达州市</w:t>
            </w:r>
          </w:p>
        </w:tc>
        <w:tc>
          <w:tcPr>
            <w:tcW w:w="145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28.4</w:t>
            </w:r>
          </w:p>
        </w:tc>
        <w:tc>
          <w:tcPr>
            <w:tcW w:w="13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4.8%</w:t>
            </w:r>
          </w:p>
        </w:tc>
        <w:tc>
          <w:tcPr>
            <w:tcW w:w="131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-24.7%</w:t>
            </w:r>
          </w:p>
        </w:tc>
        <w:tc>
          <w:tcPr>
            <w:tcW w:w="123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91.9</w:t>
            </w:r>
          </w:p>
        </w:tc>
        <w:tc>
          <w:tcPr>
            <w:tcW w:w="133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-4.2</w:t>
            </w: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2.8</w:t>
            </w:r>
          </w:p>
        </w:tc>
        <w:tc>
          <w:tcPr>
            <w:tcW w:w="143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巴中市</w:t>
            </w:r>
          </w:p>
        </w:tc>
        <w:tc>
          <w:tcPr>
            <w:tcW w:w="145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27.5</w:t>
            </w:r>
          </w:p>
        </w:tc>
        <w:tc>
          <w:tcPr>
            <w:tcW w:w="13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8.7%</w:t>
            </w:r>
          </w:p>
        </w:tc>
        <w:tc>
          <w:tcPr>
            <w:tcW w:w="131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0.4%</w:t>
            </w:r>
          </w:p>
        </w:tc>
        <w:tc>
          <w:tcPr>
            <w:tcW w:w="123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94.6</w:t>
            </w:r>
          </w:p>
        </w:tc>
        <w:tc>
          <w:tcPr>
            <w:tcW w:w="133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-3.9</w:t>
            </w: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-1.5</w:t>
            </w:r>
          </w:p>
        </w:tc>
        <w:tc>
          <w:tcPr>
            <w:tcW w:w="143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平均</w:t>
            </w:r>
          </w:p>
        </w:tc>
        <w:tc>
          <w:tcPr>
            <w:tcW w:w="145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30.2</w:t>
            </w:r>
          </w:p>
        </w:tc>
        <w:tc>
          <w:tcPr>
            <w:tcW w:w="13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8.2%</w:t>
            </w:r>
          </w:p>
        </w:tc>
        <w:tc>
          <w:tcPr>
            <w:tcW w:w="131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-3.5%</w:t>
            </w:r>
          </w:p>
        </w:tc>
        <w:tc>
          <w:tcPr>
            <w:tcW w:w="123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91.2</w:t>
            </w:r>
          </w:p>
        </w:tc>
        <w:tc>
          <w:tcPr>
            <w:tcW w:w="133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-5.3</w:t>
            </w: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</w:t>
            </w:r>
          </w:p>
        </w:tc>
        <w:tc>
          <w:tcPr>
            <w:tcW w:w="143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2.2</w:t>
            </w: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攀西高原地区</w:t>
            </w: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攀枝花市</w:t>
            </w:r>
          </w:p>
        </w:tc>
        <w:tc>
          <w:tcPr>
            <w:tcW w:w="145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26.9</w:t>
            </w:r>
          </w:p>
        </w:tc>
        <w:tc>
          <w:tcPr>
            <w:tcW w:w="13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0.7%</w:t>
            </w:r>
          </w:p>
        </w:tc>
        <w:tc>
          <w:tcPr>
            <w:tcW w:w="131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-6.6%</w:t>
            </w:r>
          </w:p>
        </w:tc>
        <w:tc>
          <w:tcPr>
            <w:tcW w:w="123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97</w:t>
            </w:r>
          </w:p>
        </w:tc>
        <w:tc>
          <w:tcPr>
            <w:tcW w:w="133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-2.1</w:t>
            </w: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-0.8</w:t>
            </w:r>
          </w:p>
        </w:tc>
        <w:tc>
          <w:tcPr>
            <w:tcW w:w="143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凉山州</w:t>
            </w:r>
          </w:p>
        </w:tc>
        <w:tc>
          <w:tcPr>
            <w:tcW w:w="145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20.9</w:t>
            </w:r>
          </w:p>
        </w:tc>
        <w:tc>
          <w:tcPr>
            <w:tcW w:w="13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3.0%</w:t>
            </w:r>
          </w:p>
        </w:tc>
        <w:tc>
          <w:tcPr>
            <w:tcW w:w="131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8.3%</w:t>
            </w:r>
          </w:p>
        </w:tc>
        <w:tc>
          <w:tcPr>
            <w:tcW w:w="123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96.7</w:t>
            </w:r>
          </w:p>
        </w:tc>
        <w:tc>
          <w:tcPr>
            <w:tcW w:w="133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-0.9</w:t>
            </w: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-1.6</w:t>
            </w:r>
          </w:p>
        </w:tc>
        <w:tc>
          <w:tcPr>
            <w:tcW w:w="143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川西高原地区</w:t>
            </w: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阿坝州</w:t>
            </w:r>
          </w:p>
        </w:tc>
        <w:tc>
          <w:tcPr>
            <w:tcW w:w="145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13.2</w:t>
            </w:r>
          </w:p>
        </w:tc>
        <w:tc>
          <w:tcPr>
            <w:tcW w:w="13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33.3%</w:t>
            </w:r>
          </w:p>
        </w:tc>
        <w:tc>
          <w:tcPr>
            <w:tcW w:w="131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-14.3%</w:t>
            </w:r>
          </w:p>
        </w:tc>
        <w:tc>
          <w:tcPr>
            <w:tcW w:w="123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</w:t>
            </w:r>
          </w:p>
        </w:tc>
        <w:tc>
          <w:tcPr>
            <w:tcW w:w="133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43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甘孜州</w:t>
            </w:r>
          </w:p>
        </w:tc>
        <w:tc>
          <w:tcPr>
            <w:tcW w:w="145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7.3</w:t>
            </w:r>
          </w:p>
        </w:tc>
        <w:tc>
          <w:tcPr>
            <w:tcW w:w="13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-13.1%</w:t>
            </w:r>
          </w:p>
        </w:tc>
        <w:tc>
          <w:tcPr>
            <w:tcW w:w="131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-17.0%</w:t>
            </w:r>
          </w:p>
        </w:tc>
        <w:tc>
          <w:tcPr>
            <w:tcW w:w="123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</w:t>
            </w:r>
          </w:p>
        </w:tc>
        <w:tc>
          <w:tcPr>
            <w:tcW w:w="133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43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2806" w:type="dxa"/>
            <w:gridSpan w:val="2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重点城市</w:t>
            </w:r>
          </w:p>
        </w:tc>
        <w:tc>
          <w:tcPr>
            <w:tcW w:w="145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35.2</w:t>
            </w:r>
          </w:p>
        </w:tc>
        <w:tc>
          <w:tcPr>
            <w:tcW w:w="13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6.3%</w:t>
            </w:r>
          </w:p>
        </w:tc>
        <w:tc>
          <w:tcPr>
            <w:tcW w:w="131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2.6%</w:t>
            </w:r>
          </w:p>
        </w:tc>
        <w:tc>
          <w:tcPr>
            <w:tcW w:w="123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83</w:t>
            </w:r>
          </w:p>
        </w:tc>
        <w:tc>
          <w:tcPr>
            <w:tcW w:w="133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-3.4</w:t>
            </w: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-4.8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2806" w:type="dxa"/>
            <w:gridSpan w:val="2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全省</w:t>
            </w:r>
          </w:p>
        </w:tc>
        <w:tc>
          <w:tcPr>
            <w:tcW w:w="145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30.8</w:t>
            </w:r>
          </w:p>
        </w:tc>
        <w:tc>
          <w:tcPr>
            <w:tcW w:w="13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5.8%</w:t>
            </w:r>
          </w:p>
        </w:tc>
        <w:tc>
          <w:tcPr>
            <w:tcW w:w="131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1.3%</w:t>
            </w:r>
          </w:p>
        </w:tc>
        <w:tc>
          <w:tcPr>
            <w:tcW w:w="123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87.1</w:t>
            </w:r>
          </w:p>
        </w:tc>
        <w:tc>
          <w:tcPr>
            <w:tcW w:w="133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-2.9</w:t>
            </w: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-3.7</w:t>
            </w:r>
          </w:p>
        </w:tc>
        <w:tc>
          <w:tcPr>
            <w:tcW w:w="1433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35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</w:tr>
    </w:tbl>
    <w:p>
      <w:pPr>
        <w:overflowPunct w:val="0"/>
        <w:topLinePunct/>
        <w:spacing w:line="400" w:lineRule="exac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备注：1．重点城市是指全国168个重点城市中我省的15个市。</w:t>
      </w:r>
    </w:p>
    <w:p>
      <w:pPr>
        <w:numPr>
          <w:ilvl w:val="0"/>
          <w:numId w:val="1"/>
        </w:numPr>
        <w:overflowPunct w:val="0"/>
        <w:topLinePunct/>
        <w:spacing w:line="400" w:lineRule="exact"/>
        <w:ind w:firstLine="720" w:firstLineChars="3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三年均值指2019—2021年同期平均值。</w:t>
      </w:r>
    </w:p>
    <w:p>
      <w:pPr>
        <w:numPr>
          <w:ilvl w:val="0"/>
          <w:numId w:val="1"/>
        </w:numPr>
        <w:overflowPunct w:val="0"/>
        <w:topLinePunct/>
        <w:spacing w:line="400" w:lineRule="exact"/>
        <w:ind w:firstLine="720" w:firstLineChars="3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数据来源为国控站实测数据。</w:t>
      </w:r>
    </w:p>
    <w:p>
      <w:r>
        <w:rPr>
          <w:rStyle w:val="9"/>
          <w:rFonts w:ascii="Times New Roman" w:hAnsi="Times New Roman" w:eastAsia="黑体"/>
          <w:szCs w:val="32"/>
        </w:rPr>
        <w:br w:type="page"/>
      </w:r>
    </w:p>
    <w:sectPr>
      <w:pgSz w:w="16838" w:h="11906" w:orient="landscape"/>
      <w:pgMar w:top="1800" w:right="1440" w:bottom="17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283" w:usb1="180F0C1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YjhkM2VhNmZhNGZkZGVlZTE1NzQ3MzA2NWMwNGUifQ=="/>
  </w:docVars>
  <w:rsids>
    <w:rsidRoot w:val="38DA0B8A"/>
    <w:rsid w:val="002F061A"/>
    <w:rsid w:val="01787511"/>
    <w:rsid w:val="01D9734C"/>
    <w:rsid w:val="04B63A89"/>
    <w:rsid w:val="088A1DAF"/>
    <w:rsid w:val="08FB5784"/>
    <w:rsid w:val="0C426909"/>
    <w:rsid w:val="0DB80779"/>
    <w:rsid w:val="0ED075D4"/>
    <w:rsid w:val="10F51620"/>
    <w:rsid w:val="120945FF"/>
    <w:rsid w:val="145F691E"/>
    <w:rsid w:val="18CE0171"/>
    <w:rsid w:val="193C0AB6"/>
    <w:rsid w:val="1A0B1C81"/>
    <w:rsid w:val="1B050932"/>
    <w:rsid w:val="1B576919"/>
    <w:rsid w:val="1F457A4F"/>
    <w:rsid w:val="1F8029DD"/>
    <w:rsid w:val="24997352"/>
    <w:rsid w:val="25056126"/>
    <w:rsid w:val="257D2E0C"/>
    <w:rsid w:val="265768A7"/>
    <w:rsid w:val="272E08F4"/>
    <w:rsid w:val="27557ECB"/>
    <w:rsid w:val="29687186"/>
    <w:rsid w:val="2A1C736D"/>
    <w:rsid w:val="2DA000F1"/>
    <w:rsid w:val="2FA21C17"/>
    <w:rsid w:val="34052A5B"/>
    <w:rsid w:val="34DF305F"/>
    <w:rsid w:val="352A1150"/>
    <w:rsid w:val="355A43E9"/>
    <w:rsid w:val="36D5294F"/>
    <w:rsid w:val="370B383C"/>
    <w:rsid w:val="38DA0B8A"/>
    <w:rsid w:val="39252C44"/>
    <w:rsid w:val="3A1A7E0D"/>
    <w:rsid w:val="3ABE40D8"/>
    <w:rsid w:val="3ADF1590"/>
    <w:rsid w:val="3C0C1E0D"/>
    <w:rsid w:val="3CFA42E9"/>
    <w:rsid w:val="43453B5F"/>
    <w:rsid w:val="4414168E"/>
    <w:rsid w:val="44220490"/>
    <w:rsid w:val="450A6F34"/>
    <w:rsid w:val="47BB51E6"/>
    <w:rsid w:val="4B5517C9"/>
    <w:rsid w:val="4BBD3A49"/>
    <w:rsid w:val="4E1719B8"/>
    <w:rsid w:val="4E394BEF"/>
    <w:rsid w:val="4E4642A0"/>
    <w:rsid w:val="57CC30F9"/>
    <w:rsid w:val="5AB77C65"/>
    <w:rsid w:val="5AD431A3"/>
    <w:rsid w:val="5B9B4516"/>
    <w:rsid w:val="5BF214AA"/>
    <w:rsid w:val="5C875C42"/>
    <w:rsid w:val="5E1C529A"/>
    <w:rsid w:val="6176591A"/>
    <w:rsid w:val="64105D58"/>
    <w:rsid w:val="662F4487"/>
    <w:rsid w:val="66824361"/>
    <w:rsid w:val="66FA77EB"/>
    <w:rsid w:val="6B422ADC"/>
    <w:rsid w:val="6D8E00C5"/>
    <w:rsid w:val="701636A9"/>
    <w:rsid w:val="703D2A65"/>
    <w:rsid w:val="70532EFC"/>
    <w:rsid w:val="712C26E6"/>
    <w:rsid w:val="74C54B03"/>
    <w:rsid w:val="750715DE"/>
    <w:rsid w:val="78CB575E"/>
    <w:rsid w:val="7C411144"/>
    <w:rsid w:val="7E253985"/>
    <w:rsid w:val="7ED4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0"/>
    <w:pPr>
      <w:keepNext/>
      <w:keepLines/>
      <w:spacing w:before="100" w:beforeLines="0" w:beforeAutospacing="0" w:after="9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next w:val="1"/>
    <w:qFormat/>
    <w:uiPriority w:val="0"/>
    <w:pPr>
      <w:ind w:firstLine="420" w:firstLineChars="200"/>
    </w:pPr>
  </w:style>
  <w:style w:type="character" w:customStyle="1" w:styleId="8">
    <w:name w:val="标题 1 Char"/>
    <w:link w:val="2"/>
    <w:autoRedefine/>
    <w:qFormat/>
    <w:uiPriority w:val="0"/>
    <w:rPr>
      <w:rFonts w:eastAsia="黑体" w:asciiTheme="minorAscii" w:hAnsiTheme="minorAscii"/>
      <w:b/>
      <w:kern w:val="44"/>
      <w:sz w:val="32"/>
    </w:rPr>
  </w:style>
  <w:style w:type="character" w:customStyle="1" w:styleId="9">
    <w:name w:val="NormalCharacter"/>
    <w:autoRedefine/>
    <w:qFormat/>
    <w:uiPriority w:val="0"/>
    <w:rPr>
      <w:rFonts w:ascii="等线" w:hAnsi="等线" w:eastAsia="等线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2024-01-24T02:59:00Z</dcterms:created>
  <dc:creator>罗纹殊</dc:creator>
  <cp:lastModifiedBy>罗纹殊</cp:lastModifiedBy>
  <dcterms:modified xsi:type="dcterms:W3CDTF">2024-01-24T02:59:58Z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44A7E6EE2D134961BDC3A893262551DE_11</vt:lpwstr>
  </property>
</Properties>
</file>