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3"/>
        <w:overflowPunct w:val="0"/>
        <w:topLinePunct/>
        <w:spacing w:line="240" w:lineRule="exact"/>
        <w:ind w:left="851" w:hanging="851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3"/>
        <w:overflowPunct w:val="0"/>
        <w:topLinePunct/>
        <w:spacing w:line="600" w:lineRule="exact"/>
        <w:ind w:left="851" w:hanging="851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四川赛区</w:t>
      </w:r>
    </w:p>
    <w:p>
      <w:pPr>
        <w:pStyle w:val="3"/>
        <w:overflowPunct w:val="0"/>
        <w:topLinePunct/>
        <w:spacing w:line="600" w:lineRule="exact"/>
        <w:ind w:left="851" w:hanging="851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活动决赛议程</w:t>
      </w:r>
    </w:p>
    <w:p>
      <w:pPr>
        <w:pStyle w:val="3"/>
        <w:overflowPunct w:val="0"/>
        <w:topLinePunct/>
        <w:spacing w:line="240" w:lineRule="exact"/>
        <w:ind w:left="851" w:hanging="851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792"/>
        <w:gridCol w:w="3328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ind w:firstLine="560" w:firstLineChars="200"/>
              <w:contextualSpacing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时间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议程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14:00—14:30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活动签到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14:30—14:35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活动开始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主持人介绍到会嘉宾及评委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14:35—14:45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领导致辞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生态环境厅</w:t>
            </w:r>
            <w:r>
              <w:rPr>
                <w:rFonts w:hint="eastAsia" w:ascii="Times New Roman" w:hAnsi="Times New Roman" w:eastAsia="仿宋_GB2312"/>
                <w:sz w:val="24"/>
              </w:rPr>
              <w:t>党组书记、厅长钟承林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14:45—14:50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介绍选手和比赛规则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14:50—16:50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选手比赛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1.个人介绍视频（20秒）；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2.自主命题讲解（4分钟）；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3.随机命题讲解（2分钟）。</w:t>
            </w:r>
          </w:p>
          <w:p>
            <w:pPr>
              <w:overflowPunct w:val="0"/>
              <w:topLinePunct/>
              <w:adjustRightInd w:val="0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前3名选手讲解结束后评委和大众评审统一打分，从4号开始，选手讲解结束评委和大众评审立即打分，亮分。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16:50—17:10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评委点评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7位专家依次点评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17:10—17:15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宣读比赛结果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ind w:firstLine="480" w:firstLineChars="200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17:15—17:30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颁奖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1.颁发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优秀宣传片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（一等奖1名、二等奖1名、三等奖1名）；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2.颁发优秀组织奖（8个）；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3.颁发积极贡献奖（4个）；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4.颁发</w:t>
            </w:r>
            <w:r>
              <w:rPr>
                <w:rFonts w:hint="eastAsia" w:ascii="Times New Roman" w:hAnsi="Times New Roman" w:eastAsia="仿宋_GB2312"/>
                <w:sz w:val="24"/>
              </w:rPr>
              <w:t>“最佳</w:t>
            </w:r>
            <w:r>
              <w:rPr>
                <w:rFonts w:ascii="Times New Roman" w:hAnsi="Times New Roman" w:eastAsia="仿宋_GB2312"/>
                <w:sz w:val="24"/>
              </w:rPr>
              <w:t>人气奖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（3名）；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5.颁发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优秀讲解员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三等奖（7名）；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6.颁发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优秀讲解员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二等奖（5名）；</w:t>
            </w:r>
          </w:p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7.颁发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优秀讲解员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一等奖（3名）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009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17:30</w:t>
            </w:r>
          </w:p>
        </w:tc>
        <w:tc>
          <w:tcPr>
            <w:tcW w:w="1874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活动结束</w:t>
            </w:r>
          </w:p>
        </w:tc>
        <w:tc>
          <w:tcPr>
            <w:tcW w:w="2116" w:type="pct"/>
            <w:vAlign w:val="center"/>
          </w:tcPr>
          <w:p>
            <w:pPr>
              <w:overflowPunct w:val="0"/>
              <w:topLinePunct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pStyle w:val="3"/>
        <w:overflowPunct w:val="0"/>
        <w:topLinePunct/>
        <w:spacing w:line="60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3"/>
        <w:overflowPunct w:val="0"/>
        <w:topLinePunct/>
        <w:spacing w:line="24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overflowPunct w:val="0"/>
        <w:topLinePunct/>
        <w:spacing w:line="600" w:lineRule="exact"/>
        <w:ind w:left="852" w:hanging="852" w:firstLineChars="0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“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”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四川赛区</w:t>
      </w:r>
    </w:p>
    <w:p>
      <w:pPr>
        <w:pStyle w:val="3"/>
        <w:overflowPunct w:val="0"/>
        <w:topLinePunct/>
        <w:spacing w:line="600" w:lineRule="exact"/>
        <w:ind w:left="852" w:hanging="852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活动</w:t>
      </w:r>
      <w:r>
        <w:rPr>
          <w:rFonts w:ascii="Times New Roman" w:hAnsi="Times New Roman" w:eastAsia="方正小标宋_GBK"/>
          <w:sz w:val="44"/>
          <w:szCs w:val="44"/>
        </w:rPr>
        <w:t>决赛选手名单</w:t>
      </w:r>
    </w:p>
    <w:p>
      <w:pPr>
        <w:pStyle w:val="3"/>
        <w:overflowPunct w:val="0"/>
        <w:topLinePunct/>
        <w:spacing w:line="240" w:lineRule="exact"/>
        <w:ind w:left="842" w:leftChars="-5" w:hanging="852" w:firstLineChars="0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tbl>
      <w:tblPr>
        <w:tblStyle w:val="10"/>
        <w:tblW w:w="5000" w:type="pct"/>
        <w:jc w:val="center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554"/>
        <w:gridCol w:w="1087"/>
        <w:gridCol w:w="3184"/>
        <w:gridCol w:w="1983"/>
        <w:gridCol w:w="2070"/>
      </w:tblGrid>
      <w:tr>
        <w:trPr>
          <w:trHeight w:val="20" w:hRule="atLeast"/>
          <w:tblHeader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演讲主题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工作单位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推荐单位/自荐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关舒心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电磁辐射的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科学盾牌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与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安心指南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四川省遂宁生态环境监测中心站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四川省遂宁生态环境监测中心站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唐  壮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科技赋能 共同守护城市的宁静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四川省遂宁生态环境监测中心站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四川省遂宁生态环境监测中心站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陈思洁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守护文明根脉，科技赋能未来——三星堆文明与德阳生态的千年对话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四川省德阳生态环境监测中心站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四川省德阳生态环境监测中心站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汪洋昳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智水兴泸，织靓生态长江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泸州市兴泸污水处理有限公司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泸州市生态环境局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郑  欢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钢火淬青绿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泸州鑫阳钒钛钢铁有限公司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泸州市生态环境局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黄  杉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科技赋能藻类监测，智慧守护生命之源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四川省南充生态环境监测中心站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四川省南充生态环境监测中心站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王  菁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科技涅槃塑青山 创新脉动润嘉州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四川君和环保股份有限公司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乐山市生态环境局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胡西渟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零下20℃的科技突围：川西高原湿地的破局密码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四川民族学院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四川民族学院生态与农学院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彭雳智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从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黑烟囱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到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绿电工厂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——探秘垃圾焚烧发电的绿色蜕变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四川海诺尔生态环保科技有限责任公司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四川海诺尔生态环保科技有限责任公司（国家生态环境科普基地）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吕珍珍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钙世奇缘——九寨沟诺日朗瀑布的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骨骼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重生记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西南科技大学生命科学与农林学院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西南科技大学生命科学与农林学院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师小婷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长江首城的生态蝶变之旅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宜宾市融媒体中心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宜宾市生态环境局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朱  凯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盐工号子与无人机巡航：千年盐都的科技护鱼记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自贡市飞溪河流环保公益中心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自贡市生态环境局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李沁阳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珙桐——穿越时空的生态诗篇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西华师范大学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西华师范大学环境教育中心（国家生态环境科普基地）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岳  敏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剩宴的逆袭：华丽变身三大宝贝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四川师范大学化学与材料科学学院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四川师范大学化学与材料科学学院</w:t>
            </w:r>
          </w:p>
        </w:tc>
      </w:tr>
      <w:tr>
        <w:trPr>
          <w:trHeight w:val="20" w:hRule="atLeast"/>
          <w:jc w:val="center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张书语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天空</w:t>
            </w:r>
            <w:r>
              <w:rPr>
                <w:rFonts w:hint="eastAsia"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Times New Roman" w:eastAsia="仿宋_GB2312"/>
                <w:sz w:val="24"/>
              </w:rPr>
              <w:t>播种人</w:t>
            </w:r>
            <w:r>
              <w:rPr>
                <w:rFonts w:hint="eastAsia"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Times New Roman" w:eastAsia="仿宋_GB2312"/>
                <w:sz w:val="24"/>
              </w:rPr>
              <w:t>——揭秘人工增雨雪的生态修复密码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成都信息工程大学大气科学学院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  荐</w:t>
            </w:r>
          </w:p>
        </w:tc>
      </w:tr>
    </w:tbl>
    <w:p>
      <w:pPr>
        <w:overflowPunct w:val="0"/>
        <w:topLinePunct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540" w:lineRule="exact"/>
      </w:pPr>
    </w:p>
    <w:p>
      <w:pPr>
        <w:pStyle w:val="3"/>
        <w:overflowPunct w:val="0"/>
        <w:topLinePunct/>
        <w:spacing w:line="540" w:lineRule="exact"/>
        <w:ind w:left="842" w:leftChars="-5" w:hanging="852" w:firstLineChars="0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“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”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四川赛区</w:t>
      </w:r>
    </w:p>
    <w:p>
      <w:pPr>
        <w:pStyle w:val="3"/>
        <w:overflowPunct w:val="0"/>
        <w:topLinePunct/>
        <w:spacing w:line="540" w:lineRule="exact"/>
        <w:ind w:left="842" w:leftChars="-5" w:hanging="852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活动</w:t>
      </w:r>
      <w:r>
        <w:rPr>
          <w:rFonts w:ascii="Times New Roman" w:hAnsi="Times New Roman" w:eastAsia="方正小标宋简体"/>
          <w:sz w:val="44"/>
          <w:szCs w:val="44"/>
        </w:rPr>
        <w:t>决赛住宿交通指南</w:t>
      </w:r>
    </w:p>
    <w:p>
      <w:pPr>
        <w:overflowPunct w:val="0"/>
        <w:topLinePunct/>
        <w:spacing w:line="54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一、住宿安排</w:t>
      </w: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本次活动住宿费用自理，活动提供协议酒店：</w:t>
      </w: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金河宾馆（四川省成都市青羊区金河路18号，罗经理18980069020）</w:t>
      </w: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参会人员</w:t>
      </w:r>
      <w:r>
        <w:rPr>
          <w:rFonts w:ascii="Times New Roman" w:hAnsi="Times New Roman" w:eastAsia="仿宋_GB2312"/>
          <w:sz w:val="32"/>
          <w:szCs w:val="32"/>
        </w:rPr>
        <w:t>也可自行预订周边酒店。</w:t>
      </w: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二、交通方式</w:t>
      </w: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参会人员可乘坐地铁</w:t>
      </w:r>
      <w:r>
        <w:rPr>
          <w:rFonts w:ascii="Times New Roman" w:hAnsi="Times New Roman" w:eastAsia="仿宋_GB2312"/>
          <w:sz w:val="32"/>
          <w:szCs w:val="32"/>
        </w:rPr>
        <w:t>1号/2号线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【天府广场站】下车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同时</w:t>
      </w:r>
      <w:r>
        <w:rPr>
          <w:rFonts w:hint="eastAsia" w:ascii="Times New Roman" w:hAnsi="Times New Roman" w:eastAsia="仿宋_GB2312"/>
          <w:sz w:val="32"/>
          <w:szCs w:val="32"/>
        </w:rPr>
        <w:t>可分别乘坐</w:t>
      </w:r>
      <w:r>
        <w:rPr>
          <w:rFonts w:ascii="Times New Roman" w:hAnsi="Times New Roman" w:eastAsia="仿宋_GB2312"/>
          <w:sz w:val="32"/>
          <w:szCs w:val="32"/>
        </w:rPr>
        <w:t>13、16、30、45、47、51、53、61、62、64、78、104、334</w:t>
      </w:r>
      <w:r>
        <w:rPr>
          <w:rFonts w:hint="eastAsia" w:ascii="Times New Roman" w:hAnsi="Times New Roman" w:eastAsia="仿宋_GB2312"/>
          <w:sz w:val="32"/>
          <w:szCs w:val="32"/>
        </w:rPr>
        <w:t>路公交</w:t>
      </w:r>
      <w:r>
        <w:rPr>
          <w:rFonts w:ascii="Times New Roman" w:hAnsi="Times New Roman" w:eastAsia="仿宋_GB2312"/>
          <w:sz w:val="32"/>
          <w:szCs w:val="32"/>
        </w:rPr>
        <w:t>到达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overflowPunct w:val="0"/>
        <w:topLinePunct/>
        <w:spacing w:before="0" w:after="0"/>
        <w:jc w:val="center"/>
      </w:pPr>
      <w:r>
        <w:drawing>
          <wp:inline distT="0" distB="0" distL="114300" distR="114300">
            <wp:extent cx="3735070" cy="313309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249" cy="314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topLinePunct/>
        <w:spacing w:line="600" w:lineRule="exact"/>
        <w:ind w:firstLine="56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四川科技馆示意图</w:t>
      </w: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540" w:lineRule="exact"/>
        <w:ind w:right="2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540" w:lineRule="exact"/>
      </w:pPr>
    </w:p>
    <w:p>
      <w:pPr>
        <w:pStyle w:val="3"/>
        <w:overflowPunct w:val="0"/>
        <w:topLinePunct/>
        <w:spacing w:line="540" w:lineRule="exact"/>
        <w:ind w:left="842" w:leftChars="-5" w:hanging="852" w:firstLineChars="0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“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”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四川赛区</w:t>
      </w:r>
    </w:p>
    <w:p>
      <w:pPr>
        <w:pStyle w:val="3"/>
        <w:overflowPunct w:val="0"/>
        <w:topLinePunct/>
        <w:spacing w:line="540" w:lineRule="exact"/>
        <w:ind w:left="842" w:leftChars="-5" w:hanging="852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活动</w:t>
      </w:r>
      <w:r>
        <w:rPr>
          <w:rFonts w:ascii="Times New Roman" w:hAnsi="Times New Roman" w:eastAsia="方正小标宋_GBK"/>
          <w:sz w:val="44"/>
          <w:szCs w:val="44"/>
        </w:rPr>
        <w:t>决赛</w:t>
      </w:r>
      <w:r>
        <w:rPr>
          <w:rFonts w:ascii="Times New Roman" w:hAnsi="Times New Roman" w:eastAsia="方正小标宋简体"/>
          <w:sz w:val="44"/>
          <w:szCs w:val="44"/>
        </w:rPr>
        <w:t>参会回执</w:t>
      </w: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overflowPunct w:val="0"/>
        <w:topLinePunct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请各参会人员于6月5日12：00前采取下列方式填</w:t>
      </w:r>
      <w:r>
        <w:rPr>
          <w:rFonts w:hint="eastAsia" w:ascii="Times New Roman" w:hAnsi="Times New Roman" w:eastAsia="仿宋_GB2312"/>
          <w:sz w:val="32"/>
          <w:szCs w:val="32"/>
        </w:rPr>
        <w:t>报</w:t>
      </w:r>
      <w:r>
        <w:rPr>
          <w:rFonts w:ascii="Times New Roman" w:hAnsi="Times New Roman" w:eastAsia="仿宋_GB2312"/>
          <w:sz w:val="32"/>
          <w:szCs w:val="32"/>
        </w:rPr>
        <w:t>参会回执：</w:t>
      </w:r>
    </w:p>
    <w:p>
      <w:pPr>
        <w:overflowPunct w:val="0"/>
        <w:topLinePunct/>
        <w:spacing w:line="54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方式一：</w:t>
      </w:r>
      <w:r>
        <w:rPr>
          <w:rFonts w:ascii="Times New Roman" w:hAnsi="Times New Roman" w:eastAsia="仿宋_GB2312"/>
          <w:sz w:val="32"/>
          <w:szCs w:val="32"/>
        </w:rPr>
        <w:t>将下方表格填写完整后发送至电子邮箱：</w:t>
      </w:r>
      <w:r>
        <w:fldChar w:fldCharType="begin"/>
      </w:r>
      <w:r>
        <w:instrText xml:space="preserve"> HYPERLINK "mailto:schjkxxh@163.com。"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schjkxxh@163.com。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tbl>
      <w:tblPr>
        <w:tblStyle w:val="10"/>
        <w:tblpPr w:leftFromText="180" w:rightFromText="180" w:vertAnchor="text" w:horzAnchor="page" w:tblpXSpec="center" w:tblpY="81"/>
        <w:tblOverlap w:val="never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70"/>
        <w:gridCol w:w="1662"/>
        <w:gridCol w:w="1838"/>
        <w:gridCol w:w="1572"/>
        <w:gridCol w:w="204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65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 名</w:t>
            </w:r>
          </w:p>
        </w:tc>
        <w:tc>
          <w:tcPr>
            <w:tcW w:w="1370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1662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职务/职称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联系方式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（手机号码）</w:t>
            </w:r>
          </w:p>
        </w:tc>
        <w:tc>
          <w:tcPr>
            <w:tcW w:w="1572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是否开车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（车牌号码）</w:t>
            </w:r>
          </w:p>
        </w:tc>
        <w:tc>
          <w:tcPr>
            <w:tcW w:w="2045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住宿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（单间/标间）</w:t>
            </w:r>
          </w:p>
        </w:tc>
        <w:tc>
          <w:tcPr>
            <w:tcW w:w="808" w:type="dxa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6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6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温馨提示：参会人员联系手机号仅用于接收参会信息。</w:t>
      </w:r>
    </w:p>
    <w:p>
      <w:pPr>
        <w:overflowPunct w:val="0"/>
        <w:topLinePunct/>
        <w:rPr>
          <w:rFonts w:ascii="Times New Roman" w:hAnsi="Times New Roman"/>
        </w:rPr>
      </w:pPr>
    </w:p>
    <w:p>
      <w:pPr>
        <w:overflowPunct w:val="0"/>
        <w:topLinePunct/>
        <w:spacing w:line="600" w:lineRule="exact"/>
        <w:ind w:firstLine="642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方式二：</w:t>
      </w:r>
      <w:r>
        <w:rPr>
          <w:rFonts w:ascii="Times New Roman" w:hAnsi="Times New Roman" w:eastAsia="仿宋_GB2312"/>
          <w:sz w:val="32"/>
          <w:szCs w:val="32"/>
        </w:rPr>
        <w:t>扫描下方二维码填写相关信息并提交。</w:t>
      </w:r>
    </w:p>
    <w:p>
      <w:pPr>
        <w:overflowPunct w:val="0"/>
        <w:topLinePunct/>
        <w:spacing w:line="560" w:lineRule="exact"/>
        <w:ind w:firstLine="560" w:firstLineChars="200"/>
        <w:jc w:val="left"/>
      </w:pPr>
      <w:r>
        <w:rPr>
          <w:rFonts w:ascii="Times New Roman" w:hAnsi="Times New Roman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132080</wp:posOffset>
            </wp:positionV>
            <wp:extent cx="1439545" cy="1439545"/>
            <wp:effectExtent l="0" t="0" r="8255" b="8255"/>
            <wp:wrapTopAndBottom/>
            <wp:docPr id="3" name="图片 3" descr="40e9f4cfe518a24d7b4267fc05d6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e9f4cfe518a24d7b4267fc05d6c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联系人：张  琳  13321310628</w:t>
      </w:r>
      <w:bookmarkStart w:id="0" w:name="_GoBack"/>
      <w:bookmarkEnd w:id="0"/>
    </w:p>
    <w:p>
      <w:pPr>
        <w:widowControl/>
        <w:jc w:val="left"/>
      </w:pPr>
      <w:r>
        <w:rPr>
          <w:rFonts w:hint="eastAsia" w:ascii="黑体" w:hAnsi="黑体" w:eastAsia="黑体"/>
          <w:kern w:val="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8383905</wp:posOffset>
                </wp:positionV>
                <wp:extent cx="1156335" cy="511175"/>
                <wp:effectExtent l="0" t="0" r="5715" b="38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447" cy="510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65pt;margin-top:660.15pt;height:40.25pt;width:91.05pt;z-index:251660288;v-text-anchor:middle;mso-width-relative:page;mso-height-relative:page;" fillcolor="#FFFFFF [3212]" filled="t" stroked="f" coordsize="21600,21600" o:gfxdata="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njmVR9wAAAANAQAADwAAAAAA&#10;AAABACAAAAA4AAAAZHJzL2Rvd25yZXYueG1sUEsBAhQAFAAAAAgAh07iQJBBD4prAgAAywQAAA4A&#10;AAAAAAAAAQAgAAAAQQEAAGRycy9lMm9Eb2MueG1sUEsFBgAAAAAGAAYAWQEAAB4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1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7"/>
          <w:ind w:left="210" w:leftChars="100" w:right="210" w:rightChars="100" w:firstLine="560"/>
          <w:jc w:val="right"/>
          <w:rPr>
            <w:rFonts w:hint="eastAsia"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7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dit="readOnly"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zg1NmFhMGJiZDUyZGI4NmIzZWFjOGQ3YzJmYjMifQ=="/>
  </w:docVars>
  <w:rsids>
    <w:rsidRoot w:val="00532AE4"/>
    <w:rsid w:val="00090859"/>
    <w:rsid w:val="00110E3E"/>
    <w:rsid w:val="002613C7"/>
    <w:rsid w:val="0028533C"/>
    <w:rsid w:val="00385916"/>
    <w:rsid w:val="004C7508"/>
    <w:rsid w:val="00532AE4"/>
    <w:rsid w:val="00676FA5"/>
    <w:rsid w:val="006B75D9"/>
    <w:rsid w:val="00814F7F"/>
    <w:rsid w:val="008E2A0E"/>
    <w:rsid w:val="00A213F2"/>
    <w:rsid w:val="00A3173C"/>
    <w:rsid w:val="00AF3F14"/>
    <w:rsid w:val="017C6D0A"/>
    <w:rsid w:val="02832143"/>
    <w:rsid w:val="02B40E52"/>
    <w:rsid w:val="04C9495C"/>
    <w:rsid w:val="05177476"/>
    <w:rsid w:val="077C7DD6"/>
    <w:rsid w:val="0781151E"/>
    <w:rsid w:val="07F341CA"/>
    <w:rsid w:val="09114EC1"/>
    <w:rsid w:val="095F74F6"/>
    <w:rsid w:val="0D170830"/>
    <w:rsid w:val="0F3375A2"/>
    <w:rsid w:val="11C444E1"/>
    <w:rsid w:val="12A04F4F"/>
    <w:rsid w:val="14494355"/>
    <w:rsid w:val="14AE3ED7"/>
    <w:rsid w:val="15EF355F"/>
    <w:rsid w:val="18867245"/>
    <w:rsid w:val="1A073B05"/>
    <w:rsid w:val="1A74451A"/>
    <w:rsid w:val="1BBC736F"/>
    <w:rsid w:val="1C8C4772"/>
    <w:rsid w:val="1DB32258"/>
    <w:rsid w:val="1E237E7E"/>
    <w:rsid w:val="1E3601BA"/>
    <w:rsid w:val="21756E1F"/>
    <w:rsid w:val="21A62FC3"/>
    <w:rsid w:val="23D3469B"/>
    <w:rsid w:val="24194B61"/>
    <w:rsid w:val="24C820E3"/>
    <w:rsid w:val="267364A6"/>
    <w:rsid w:val="26A30712"/>
    <w:rsid w:val="26EA00EF"/>
    <w:rsid w:val="272A2BE1"/>
    <w:rsid w:val="275B723E"/>
    <w:rsid w:val="28041684"/>
    <w:rsid w:val="281C4C20"/>
    <w:rsid w:val="28355CE1"/>
    <w:rsid w:val="28AE57AE"/>
    <w:rsid w:val="295F10ED"/>
    <w:rsid w:val="29FB0865"/>
    <w:rsid w:val="2A067935"/>
    <w:rsid w:val="2A0F6AFA"/>
    <w:rsid w:val="2ACF41CB"/>
    <w:rsid w:val="2B8B7B8A"/>
    <w:rsid w:val="2B9176D3"/>
    <w:rsid w:val="2BAB7745"/>
    <w:rsid w:val="2C6F0A69"/>
    <w:rsid w:val="2EB76944"/>
    <w:rsid w:val="2FCC6F2B"/>
    <w:rsid w:val="2FE73D65"/>
    <w:rsid w:val="305F1B4D"/>
    <w:rsid w:val="30717AD3"/>
    <w:rsid w:val="31883A68"/>
    <w:rsid w:val="31927D00"/>
    <w:rsid w:val="325F7234"/>
    <w:rsid w:val="32987598"/>
    <w:rsid w:val="37F10D98"/>
    <w:rsid w:val="39BA1729"/>
    <w:rsid w:val="3C0E2679"/>
    <w:rsid w:val="3C395948"/>
    <w:rsid w:val="3CB007DB"/>
    <w:rsid w:val="3CFB0E50"/>
    <w:rsid w:val="3D006466"/>
    <w:rsid w:val="3D7BF170"/>
    <w:rsid w:val="3E1548AD"/>
    <w:rsid w:val="3E886713"/>
    <w:rsid w:val="3EC73698"/>
    <w:rsid w:val="3FFF5A23"/>
    <w:rsid w:val="40BB3206"/>
    <w:rsid w:val="41F52311"/>
    <w:rsid w:val="433155E1"/>
    <w:rsid w:val="458319E2"/>
    <w:rsid w:val="45D93CF8"/>
    <w:rsid w:val="477660B5"/>
    <w:rsid w:val="48427933"/>
    <w:rsid w:val="487F581A"/>
    <w:rsid w:val="4BB01057"/>
    <w:rsid w:val="4BFF0450"/>
    <w:rsid w:val="4D21045F"/>
    <w:rsid w:val="4EBE7F2F"/>
    <w:rsid w:val="503C55AF"/>
    <w:rsid w:val="506B7F15"/>
    <w:rsid w:val="50AF7B2F"/>
    <w:rsid w:val="52375C14"/>
    <w:rsid w:val="523E4647"/>
    <w:rsid w:val="52484953"/>
    <w:rsid w:val="52715A74"/>
    <w:rsid w:val="53785D5A"/>
    <w:rsid w:val="54BE2A37"/>
    <w:rsid w:val="55994349"/>
    <w:rsid w:val="56861672"/>
    <w:rsid w:val="568D0754"/>
    <w:rsid w:val="56A74087"/>
    <w:rsid w:val="56EC7167"/>
    <w:rsid w:val="57212E09"/>
    <w:rsid w:val="575F7462"/>
    <w:rsid w:val="5866766D"/>
    <w:rsid w:val="59DD395F"/>
    <w:rsid w:val="5A897643"/>
    <w:rsid w:val="5AFB5BC4"/>
    <w:rsid w:val="5B8306D8"/>
    <w:rsid w:val="5C4A2E02"/>
    <w:rsid w:val="5D386CAB"/>
    <w:rsid w:val="5D3BFCAE"/>
    <w:rsid w:val="5D916F3A"/>
    <w:rsid w:val="5D9C19EB"/>
    <w:rsid w:val="5D9E3405"/>
    <w:rsid w:val="5DB9F074"/>
    <w:rsid w:val="5DE0273B"/>
    <w:rsid w:val="5E3C3896"/>
    <w:rsid w:val="5EFB250A"/>
    <w:rsid w:val="5FA33061"/>
    <w:rsid w:val="5FC40D18"/>
    <w:rsid w:val="5FC5111D"/>
    <w:rsid w:val="60646DEC"/>
    <w:rsid w:val="610E43FE"/>
    <w:rsid w:val="61BB05DC"/>
    <w:rsid w:val="630006BE"/>
    <w:rsid w:val="633E41A1"/>
    <w:rsid w:val="64DE61BC"/>
    <w:rsid w:val="65CC501A"/>
    <w:rsid w:val="66497331"/>
    <w:rsid w:val="66EA1469"/>
    <w:rsid w:val="67BFB14D"/>
    <w:rsid w:val="67FA1B80"/>
    <w:rsid w:val="6937148E"/>
    <w:rsid w:val="69843021"/>
    <w:rsid w:val="699F29DF"/>
    <w:rsid w:val="6A220DC8"/>
    <w:rsid w:val="6B1D005F"/>
    <w:rsid w:val="6C755C79"/>
    <w:rsid w:val="6C944B92"/>
    <w:rsid w:val="6D5FDC2B"/>
    <w:rsid w:val="6DFB0400"/>
    <w:rsid w:val="6EFB5A89"/>
    <w:rsid w:val="6F031D8D"/>
    <w:rsid w:val="6F525DFE"/>
    <w:rsid w:val="6F83705A"/>
    <w:rsid w:val="6FEC0407"/>
    <w:rsid w:val="6FFE28B1"/>
    <w:rsid w:val="70C76378"/>
    <w:rsid w:val="70DF5DB7"/>
    <w:rsid w:val="738E777A"/>
    <w:rsid w:val="73B3610E"/>
    <w:rsid w:val="73DA368B"/>
    <w:rsid w:val="75B8955A"/>
    <w:rsid w:val="776E1C43"/>
    <w:rsid w:val="777BDBBD"/>
    <w:rsid w:val="77FF2476"/>
    <w:rsid w:val="78533619"/>
    <w:rsid w:val="789210EF"/>
    <w:rsid w:val="7AF15F80"/>
    <w:rsid w:val="7B2965AD"/>
    <w:rsid w:val="7B755252"/>
    <w:rsid w:val="7B9F80F4"/>
    <w:rsid w:val="7BC91D52"/>
    <w:rsid w:val="7C2F4C5D"/>
    <w:rsid w:val="7CC7607D"/>
    <w:rsid w:val="7D974F61"/>
    <w:rsid w:val="7F335FF7"/>
    <w:rsid w:val="7FD1DAB7"/>
    <w:rsid w:val="7FD98BC6"/>
    <w:rsid w:val="7FF54C1B"/>
    <w:rsid w:val="9CDE47B0"/>
    <w:rsid w:val="B9F7E008"/>
    <w:rsid w:val="BFFF8A86"/>
    <w:rsid w:val="DFF50852"/>
    <w:rsid w:val="E6DEBD46"/>
    <w:rsid w:val="F7FFC1B8"/>
    <w:rsid w:val="F9CE643A"/>
    <w:rsid w:val="FEFB1028"/>
    <w:rsid w:val="FF3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2"/>
    </w:rPr>
  </w:style>
  <w:style w:type="paragraph" w:styleId="4">
    <w:name w:val="Salutation"/>
    <w:basedOn w:val="1"/>
    <w:next w:val="1"/>
    <w:unhideWhenUsed/>
    <w:qFormat/>
    <w:uiPriority w:val="0"/>
  </w:style>
  <w:style w:type="paragraph" w:styleId="5">
    <w:name w:val="Body Text"/>
    <w:basedOn w:val="1"/>
    <w:link w:val="16"/>
    <w:qFormat/>
    <w:uiPriority w:val="0"/>
    <w:pPr>
      <w:spacing w:after="12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5"/>
    <w:qFormat/>
    <w:uiPriority w:val="99"/>
    <w:pPr>
      <w:spacing w:line="360" w:lineRule="auto"/>
      <w:ind w:firstLine="420" w:firstLineChars="100"/>
    </w:pPr>
    <w:rPr>
      <w:rFonts w:eastAsia="仿宋"/>
      <w:sz w:val="3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2"/>
    <w:basedOn w:val="1"/>
    <w:next w:val="1"/>
    <w:unhideWhenUsed/>
    <w:qFormat/>
    <w:uiPriority w:val="99"/>
    <w:rPr>
      <w:rFonts w:hint="eastAsia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正文文本 字符"/>
    <w:link w:val="5"/>
    <w:qFormat/>
    <w:uiPriority w:val="0"/>
    <w:rPr>
      <w:szCs w:val="24"/>
    </w:rPr>
  </w:style>
  <w:style w:type="character" w:customStyle="1" w:styleId="17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413</Words>
  <Characters>2359</Characters>
  <Lines>19</Lines>
  <Paragraphs>5</Paragraphs>
  <TotalTime>5</TotalTime>
  <ScaleCrop>false</ScaleCrop>
  <LinksUpToDate>false</LinksUpToDate>
  <CharactersWithSpaces>2767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2025-06-03T09:42:00Z</dcterms:created>
  <dc:creator>Administrator</dc:creator>
  <cp:lastModifiedBy>user</cp:lastModifiedBy>
  <cp:lastPrinted>2025-06-03T09:59:00Z</cp:lastPrinted>
  <dcterms:modified xsi:type="dcterms:W3CDTF">2025-06-03T15:26:12Z</dcterms:modified>
  <dc:title>关于2024年四川省“我是生态环境讲解员”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AD06928CB89CA93672653968B2F4286C</vt:lpwstr>
  </property>
  <property fmtid="{D5CDD505-2E9C-101B-9397-08002B2CF9AE}" pid="4" name="KSOTemplateDocerSaveRecord">
    <vt:lpwstr>eyJoZGlkIjoiYmVhOWMxODM4OTI0YTJkNWQzZGU5MGJjNzI5NWNhMzEiLCJ1c2VySWQiOiIzNjg0MjA2NzQifQ==</vt:lpwstr>
  </property>
</Properties>
</file>