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2023年5月全省市级城市地表水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环境质量状况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2"/>
        <w:gridCol w:w="1570"/>
        <w:gridCol w:w="1193"/>
        <w:gridCol w:w="1579"/>
        <w:gridCol w:w="16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5月排名情况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1.7445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-26.24%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1.7832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-16.03%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2.4986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-15.21%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 xml:space="preserve">4.03 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3.9502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3.8561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6.71%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ascii="Times New Roman" w:hAnsi="Times New Roman" w:eastAsia="黑体" w:cs="黑体"/>
          <w:bCs/>
          <w:sz w:val="32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2023年5月全省县级城市地表水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环境质量状况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及变化情况</w:t>
      </w: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排名</w:t>
      </w:r>
    </w:p>
    <w:p>
      <w:pPr>
        <w:pStyle w:val="2"/>
        <w:overflowPunct w:val="0"/>
        <w:topLinePunct/>
        <w:spacing w:line="600" w:lineRule="exact"/>
        <w:ind w:firstLine="440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00"/>
        <w:gridCol w:w="2314"/>
        <w:gridCol w:w="1108"/>
        <w:gridCol w:w="859"/>
        <w:gridCol w:w="229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1.0077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-54.30%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1.4744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-51.27%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1.5779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德阳市罗江区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-46.48%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1.6044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-46.21%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色达县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1.6112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-41.71%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1.6177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-36.50%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1.6571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成都市东部新区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-34.08%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1.6702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-33.21%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1.681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-33.00%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1.6862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绵阳市安州区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-32.61%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5.7952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荥经县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5.3435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5.2269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53.79%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5.2131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成都市天府新区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38.56%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成都市武侯区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5.1721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37.08%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5.0557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4.7716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4.7227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蓬安县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33.59%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4.6814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4.6525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29.54%</w:t>
            </w:r>
          </w:p>
        </w:tc>
      </w:tr>
    </w:tbl>
    <w:p>
      <w:pPr>
        <w:overflowPunct w:val="0"/>
        <w:topLinePunct/>
        <w:spacing w:line="20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2023年5月和</w:t>
      </w:r>
      <w:r>
        <w:rPr>
          <w:rFonts w:ascii="Times New Roman" w:hAnsi="Times New Roman" w:eastAsia="方正小标宋简体"/>
          <w:bCs/>
          <w:sz w:val="44"/>
          <w:szCs w:val="32"/>
        </w:rPr>
        <w:t>1—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5月</w:t>
      </w:r>
      <w:r>
        <w:rPr>
          <w:rFonts w:ascii="Times New Roman" w:hAnsi="Times New Roman" w:eastAsia="方正小标宋简体"/>
          <w:bCs/>
          <w:sz w:val="44"/>
          <w:szCs w:val="32"/>
        </w:rPr>
        <w:t>21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2"/>
        <w:gridCol w:w="1570"/>
        <w:gridCol w:w="1312"/>
        <w:gridCol w:w="1460"/>
        <w:gridCol w:w="16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2.37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2.86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2.88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2.92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2.97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3.02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3.13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3.23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3.24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3.31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3.48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3.61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3.73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3.83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1.81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1.82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3.04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3.61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3.63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3.99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4.13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4.19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4.26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4.35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4.36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4.41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4.43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4.51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4.56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4.57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7.32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85.3%</w:t>
            </w:r>
          </w:p>
        </w:tc>
      </w:tr>
    </w:tbl>
    <w:p>
      <w:pPr>
        <w:overflowPunct w:val="0"/>
        <w:topLinePunct/>
        <w:spacing w:line="500" w:lineRule="exact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绵阳市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月出现人为干扰，对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月六项污染物浓度进行了最大值替代处理。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  <w:r>
        <w:rPr>
          <w:rFonts w:ascii="Times New Roman" w:hAnsi="Times New Roman" w:eastAsia="黑体"/>
          <w:bCs/>
          <w:color w:val="FF0000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2023年5月和1—5月55个市辖区及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5"/>
        <w:gridCol w:w="2539"/>
        <w:gridCol w:w="874"/>
        <w:gridCol w:w="1060"/>
        <w:gridCol w:w="246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2.15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2.54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遂宁经济技术开发区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2.54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52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2.56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绵阳高新技术产业开发区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2.71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3.96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3.92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成都市武侯区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3.84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宜宾市南溪区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3.83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3.78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乐山市五通桥区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－</w:t>
            </w: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2.67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3.11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3.33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成都市新都区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成都高新技术产业开发区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4.94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4.79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4.78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宜宾市南溪区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宜宾市叙州区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4.73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18.50%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bCs/>
          <w:sz w:val="32"/>
          <w:szCs w:val="48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2023年5月和1—5月128个县级城市环境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07"/>
        <w:gridCol w:w="2108"/>
        <w:gridCol w:w="1550"/>
        <w:gridCol w:w="1023"/>
        <w:gridCol w:w="180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1.09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1.14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1.14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1.17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1.25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汶川县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1.29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1.31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越西县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1.32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4.03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3.84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3.64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青神县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金阳县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邻水县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3.51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开江县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3.48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兴文县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3.46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1.28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-23.00%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1.35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1.49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1.57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-11.20%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1.61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-9.90%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4.71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4.69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4.54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4.46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4.33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20.30%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4.31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4.27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4.25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4.21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4.2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18.50%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pacing w:val="-6"/>
          <w:sz w:val="32"/>
          <w:szCs w:val="32"/>
        </w:rPr>
      </w:pPr>
      <w:r>
        <w:rPr>
          <w:rFonts w:hint="eastAsia" w:ascii="Times New Roman" w:hAnsi="Times New Roman"/>
          <w:bCs/>
          <w:kern w:val="0"/>
          <w:sz w:val="28"/>
          <w:szCs w:val="28"/>
        </w:rPr>
        <w:t>注：变化率正为同比较差、负为同比较好。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552805758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E5MDFkMmQ1YmViYmZmYmJkMTMxNGFlZTcyODk4YzAifQ=="/>
  </w:docVars>
  <w:rsids>
    <w:rsidRoot w:val="9BFD60D6"/>
    <w:rsid w:val="0005374F"/>
    <w:rsid w:val="00071F8B"/>
    <w:rsid w:val="00073FA4"/>
    <w:rsid w:val="00075DBD"/>
    <w:rsid w:val="000B298C"/>
    <w:rsid w:val="001078A6"/>
    <w:rsid w:val="00110EB0"/>
    <w:rsid w:val="00127E0A"/>
    <w:rsid w:val="001478ED"/>
    <w:rsid w:val="001758F6"/>
    <w:rsid w:val="001D1CD1"/>
    <w:rsid w:val="001F7147"/>
    <w:rsid w:val="00255C07"/>
    <w:rsid w:val="002E5D5F"/>
    <w:rsid w:val="002F5578"/>
    <w:rsid w:val="00423800"/>
    <w:rsid w:val="0047071A"/>
    <w:rsid w:val="004C7503"/>
    <w:rsid w:val="005053CE"/>
    <w:rsid w:val="005222F0"/>
    <w:rsid w:val="005F66B4"/>
    <w:rsid w:val="00676258"/>
    <w:rsid w:val="006B5F23"/>
    <w:rsid w:val="006C444D"/>
    <w:rsid w:val="006E1692"/>
    <w:rsid w:val="00790777"/>
    <w:rsid w:val="0081627A"/>
    <w:rsid w:val="00840E00"/>
    <w:rsid w:val="00957A8B"/>
    <w:rsid w:val="009679C0"/>
    <w:rsid w:val="00972D39"/>
    <w:rsid w:val="0098738F"/>
    <w:rsid w:val="009A3C42"/>
    <w:rsid w:val="00A3249B"/>
    <w:rsid w:val="00A35344"/>
    <w:rsid w:val="00A67903"/>
    <w:rsid w:val="00A94312"/>
    <w:rsid w:val="00AC193B"/>
    <w:rsid w:val="00AD4F1B"/>
    <w:rsid w:val="00B24456"/>
    <w:rsid w:val="00B3729D"/>
    <w:rsid w:val="00B43D9A"/>
    <w:rsid w:val="00B4489E"/>
    <w:rsid w:val="00BB0A01"/>
    <w:rsid w:val="00BC5D53"/>
    <w:rsid w:val="00BC6D62"/>
    <w:rsid w:val="00BD037B"/>
    <w:rsid w:val="00BE6626"/>
    <w:rsid w:val="00BF391D"/>
    <w:rsid w:val="00D64693"/>
    <w:rsid w:val="00D8295D"/>
    <w:rsid w:val="00DA6175"/>
    <w:rsid w:val="00DC6EA7"/>
    <w:rsid w:val="00EA1FB4"/>
    <w:rsid w:val="00EE7EF4"/>
    <w:rsid w:val="00EF7197"/>
    <w:rsid w:val="00F26144"/>
    <w:rsid w:val="00FB4495"/>
    <w:rsid w:val="17AEFC92"/>
    <w:rsid w:val="1FDAB72C"/>
    <w:rsid w:val="1FF778B4"/>
    <w:rsid w:val="2E7B652A"/>
    <w:rsid w:val="2FAA873C"/>
    <w:rsid w:val="2FFC1260"/>
    <w:rsid w:val="2FFF935D"/>
    <w:rsid w:val="39DF4485"/>
    <w:rsid w:val="3DA733A1"/>
    <w:rsid w:val="3DBFDD04"/>
    <w:rsid w:val="3F77F5CD"/>
    <w:rsid w:val="3FFF2A2F"/>
    <w:rsid w:val="475F928C"/>
    <w:rsid w:val="54171C54"/>
    <w:rsid w:val="54FB22DE"/>
    <w:rsid w:val="55FA77A5"/>
    <w:rsid w:val="569F9915"/>
    <w:rsid w:val="56DE6906"/>
    <w:rsid w:val="5BFD3E4D"/>
    <w:rsid w:val="5DF796A3"/>
    <w:rsid w:val="5E270E17"/>
    <w:rsid w:val="5E35E7E2"/>
    <w:rsid w:val="5F7D3F79"/>
    <w:rsid w:val="5FAF76B4"/>
    <w:rsid w:val="5FCC58B2"/>
    <w:rsid w:val="5FDAFE4D"/>
    <w:rsid w:val="5FF761E0"/>
    <w:rsid w:val="61DD40A8"/>
    <w:rsid w:val="62FFC82C"/>
    <w:rsid w:val="64920785"/>
    <w:rsid w:val="67F1DA7D"/>
    <w:rsid w:val="68EF96F9"/>
    <w:rsid w:val="6BFF0943"/>
    <w:rsid w:val="6CFB8EF2"/>
    <w:rsid w:val="757B0497"/>
    <w:rsid w:val="76FBF7C1"/>
    <w:rsid w:val="777F3C6A"/>
    <w:rsid w:val="777F9228"/>
    <w:rsid w:val="77F345BD"/>
    <w:rsid w:val="77F6C9BA"/>
    <w:rsid w:val="77FD8CB3"/>
    <w:rsid w:val="79F52957"/>
    <w:rsid w:val="7AC7B273"/>
    <w:rsid w:val="7BE723F3"/>
    <w:rsid w:val="7BFFF90F"/>
    <w:rsid w:val="7C972586"/>
    <w:rsid w:val="7DFB4609"/>
    <w:rsid w:val="7DFF4CE9"/>
    <w:rsid w:val="7E9FF1CC"/>
    <w:rsid w:val="7EB62547"/>
    <w:rsid w:val="7EDBC292"/>
    <w:rsid w:val="7FBF1ACF"/>
    <w:rsid w:val="7FBF270D"/>
    <w:rsid w:val="7FBF2746"/>
    <w:rsid w:val="7FDEFBA6"/>
    <w:rsid w:val="7FE71925"/>
    <w:rsid w:val="90DF3041"/>
    <w:rsid w:val="9BF7218F"/>
    <w:rsid w:val="9BFD60D6"/>
    <w:rsid w:val="9EDD84AB"/>
    <w:rsid w:val="A6FD8030"/>
    <w:rsid w:val="A7FD447B"/>
    <w:rsid w:val="AE37FEE5"/>
    <w:rsid w:val="AFFBC890"/>
    <w:rsid w:val="B2BCE435"/>
    <w:rsid w:val="B5FB0AF4"/>
    <w:rsid w:val="B5FC6AF9"/>
    <w:rsid w:val="B7FDE16B"/>
    <w:rsid w:val="BBDFA5E7"/>
    <w:rsid w:val="BC76E40F"/>
    <w:rsid w:val="BF4DC981"/>
    <w:rsid w:val="BF530CC4"/>
    <w:rsid w:val="BF75EB7C"/>
    <w:rsid w:val="BFCF3E0E"/>
    <w:rsid w:val="BFFB7F17"/>
    <w:rsid w:val="BFFFF70E"/>
    <w:rsid w:val="CF3DD928"/>
    <w:rsid w:val="CFCF1490"/>
    <w:rsid w:val="D5F7815B"/>
    <w:rsid w:val="DA3F89EB"/>
    <w:rsid w:val="DADF6F29"/>
    <w:rsid w:val="DDD6FA30"/>
    <w:rsid w:val="DEAA1B68"/>
    <w:rsid w:val="DEEF7FC1"/>
    <w:rsid w:val="DF793D09"/>
    <w:rsid w:val="DFF796E9"/>
    <w:rsid w:val="E7DF5E41"/>
    <w:rsid w:val="EBCFEC7A"/>
    <w:rsid w:val="ECBF6FAF"/>
    <w:rsid w:val="EF5DF841"/>
    <w:rsid w:val="EF8F60AE"/>
    <w:rsid w:val="F16B4FA3"/>
    <w:rsid w:val="F3BFCA2F"/>
    <w:rsid w:val="F6D213C9"/>
    <w:rsid w:val="F79EDBF9"/>
    <w:rsid w:val="F7BB6BA6"/>
    <w:rsid w:val="F7DF0174"/>
    <w:rsid w:val="FA6E78EA"/>
    <w:rsid w:val="FA7D29B8"/>
    <w:rsid w:val="FB06556F"/>
    <w:rsid w:val="FBC3403D"/>
    <w:rsid w:val="FBCE57F8"/>
    <w:rsid w:val="FBFA070B"/>
    <w:rsid w:val="FD7E0388"/>
    <w:rsid w:val="FDBF1946"/>
    <w:rsid w:val="FDF69427"/>
    <w:rsid w:val="FDFE13C0"/>
    <w:rsid w:val="FE9F1ED7"/>
    <w:rsid w:val="FEEF0891"/>
    <w:rsid w:val="FEEFC80B"/>
    <w:rsid w:val="FEFB4E19"/>
    <w:rsid w:val="FEFB4F9D"/>
    <w:rsid w:val="FEFBA601"/>
    <w:rsid w:val="FEFDE49F"/>
    <w:rsid w:val="FF3B0368"/>
    <w:rsid w:val="FF4FABC1"/>
    <w:rsid w:val="FF5B3F33"/>
    <w:rsid w:val="FF9B65EF"/>
    <w:rsid w:val="FFAE2A02"/>
    <w:rsid w:val="FFD55E69"/>
    <w:rsid w:val="FFD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960</Words>
  <Characters>5472</Characters>
  <Lines>45</Lines>
  <Paragraphs>12</Paragraphs>
  <TotalTime>10</TotalTime>
  <ScaleCrop>false</ScaleCrop>
  <LinksUpToDate>false</LinksUpToDate>
  <CharactersWithSpaces>6420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2022-08-03T00:55:00Z</dcterms:created>
  <dc:creator>淡然</dc:creator>
  <cp:lastModifiedBy>user</cp:lastModifiedBy>
  <cp:lastPrinted>2023-08-17T23:41:00Z</cp:lastPrinted>
  <dcterms:modified xsi:type="dcterms:W3CDTF">2023-08-25T15:29:20Z</dcterms:modified>
  <dc:title>四川省生态环境保护委员会办公室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CAD9C58809474B86B8DB422956B9146C_13</vt:lpwstr>
  </property>
</Properties>
</file>