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 w:cs="黑体"/>
          <w:spacing w:val="0"/>
          <w:szCs w:val="32"/>
        </w:rPr>
      </w:pPr>
      <w:bookmarkStart w:id="0" w:name="_GoBack"/>
      <w:bookmarkEnd w:id="0"/>
      <w:r>
        <w:rPr>
          <w:rFonts w:hint="eastAsia" w:eastAsia="黑体" w:cs="黑体"/>
          <w:spacing w:val="0"/>
          <w:szCs w:val="32"/>
        </w:rPr>
        <w:t>附件1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  <w:r>
        <w:rPr>
          <w:rFonts w:hint="eastAsia" w:eastAsia="方正小标宋简体" w:cs="方正大标宋简体"/>
          <w:spacing w:val="0"/>
          <w:sz w:val="44"/>
          <w:szCs w:val="32"/>
        </w:rPr>
        <w:t>2022年8月全省市级城市地表水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  <w:r>
        <w:rPr>
          <w:rFonts w:hint="eastAsia" w:eastAsia="方正小标宋简体" w:cs="方正大标宋简体"/>
          <w:spacing w:val="0"/>
          <w:sz w:val="44"/>
          <w:szCs w:val="32"/>
        </w:rPr>
        <w:t>环境质量状况排名前后3位名单</w:t>
      </w:r>
    </w:p>
    <w:p>
      <w:pPr>
        <w:overflowPunct w:val="0"/>
        <w:topLinePunct/>
        <w:adjustRightInd w:val="0"/>
        <w:snapToGrid w:val="0"/>
        <w:spacing w:line="600" w:lineRule="exact"/>
        <w:ind w:firstLine="1191" w:firstLineChars="371"/>
        <w:jc w:val="center"/>
        <w:rPr>
          <w:rFonts w:eastAsia="方正大标宋简体" w:cs="方正大标宋简体"/>
          <w:b/>
          <w:spacing w:val="0"/>
          <w:szCs w:val="32"/>
        </w:rPr>
      </w:pP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1797"/>
        <w:gridCol w:w="3528"/>
        <w:gridCol w:w="3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101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9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200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101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</w:t>
            </w:r>
          </w:p>
        </w:tc>
        <w:tc>
          <w:tcPr>
            <w:tcW w:w="19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甘孜州</w:t>
            </w:r>
          </w:p>
        </w:tc>
        <w:tc>
          <w:tcPr>
            <w:tcW w:w="200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1.9489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101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19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攀枝花市</w:t>
            </w:r>
          </w:p>
        </w:tc>
        <w:tc>
          <w:tcPr>
            <w:tcW w:w="200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2.0915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101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</w:t>
            </w:r>
          </w:p>
        </w:tc>
        <w:tc>
          <w:tcPr>
            <w:tcW w:w="19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阿坝州</w:t>
            </w:r>
          </w:p>
        </w:tc>
        <w:tc>
          <w:tcPr>
            <w:tcW w:w="200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2.4086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101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倒1</w:t>
            </w:r>
          </w:p>
        </w:tc>
        <w:tc>
          <w:tcPr>
            <w:tcW w:w="19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自贡市</w:t>
            </w:r>
          </w:p>
        </w:tc>
        <w:tc>
          <w:tcPr>
            <w:tcW w:w="200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4.3689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101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倒2</w:t>
            </w:r>
          </w:p>
        </w:tc>
        <w:tc>
          <w:tcPr>
            <w:tcW w:w="19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资阳市</w:t>
            </w:r>
          </w:p>
        </w:tc>
        <w:tc>
          <w:tcPr>
            <w:tcW w:w="200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4.2939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7" w:hRule="atLeast"/>
          <w:jc w:val="center"/>
        </w:trPr>
        <w:tc>
          <w:tcPr>
            <w:tcW w:w="1012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倒3</w:t>
            </w:r>
          </w:p>
        </w:tc>
        <w:tc>
          <w:tcPr>
            <w:tcW w:w="1987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遂宁市</w:t>
            </w:r>
          </w:p>
        </w:tc>
        <w:tc>
          <w:tcPr>
            <w:tcW w:w="200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4.2753</w:t>
            </w:r>
          </w:p>
        </w:tc>
      </w:tr>
    </w:tbl>
    <w:p>
      <w:pPr>
        <w:overflowPunct w:val="0"/>
        <w:topLinePunct/>
        <w:spacing w:line="600" w:lineRule="exact"/>
        <w:rPr>
          <w:rFonts w:eastAsia="黑体" w:cs="黑体"/>
          <w:b/>
          <w:spacing w:val="0"/>
          <w:sz w:val="36"/>
          <w:szCs w:val="32"/>
        </w:rPr>
      </w:pPr>
      <w:r>
        <w:rPr>
          <w:rFonts w:hint="eastAsia" w:eastAsia="黑体" w:cs="黑体"/>
          <w:b/>
          <w:color w:val="C0504D" w:themeColor="accent2"/>
          <w:spacing w:val="0"/>
          <w:szCs w:val="32"/>
          <w14:textFill>
            <w14:solidFill>
              <w14:schemeClr w14:val="accent2"/>
            </w14:solidFill>
          </w14:textFill>
        </w:rPr>
        <w:br w:type="page"/>
      </w:r>
      <w:r>
        <w:rPr>
          <w:rFonts w:hint="eastAsia" w:eastAsia="黑体" w:cs="黑体"/>
          <w:spacing w:val="0"/>
          <w:szCs w:val="32"/>
        </w:rPr>
        <w:t>附件2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eastAsia="黑体" w:cs="黑体"/>
          <w:b/>
          <w:spacing w:val="0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  <w:r>
        <w:rPr>
          <w:rFonts w:hint="eastAsia" w:eastAsia="方正小标宋简体" w:cs="方正大标宋简体"/>
          <w:spacing w:val="0"/>
          <w:sz w:val="44"/>
          <w:szCs w:val="32"/>
        </w:rPr>
        <w:t>2022年8月全省县级城市地表水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  <w:r>
        <w:rPr>
          <w:rFonts w:hint="eastAsia" w:eastAsia="方正小标宋简体" w:cs="方正大标宋简体"/>
          <w:spacing w:val="0"/>
          <w:sz w:val="44"/>
          <w:szCs w:val="32"/>
        </w:rPr>
        <w:t>环境质量状况排名前后10位名单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b/>
          <w:spacing w:val="0"/>
          <w:sz w:val="44"/>
          <w:szCs w:val="32"/>
        </w:rPr>
      </w:pP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1339"/>
        <w:gridCol w:w="2283"/>
        <w:gridCol w:w="3443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tblHeader/>
          <w:jc w:val="center"/>
        </w:trPr>
        <w:tc>
          <w:tcPr>
            <w:tcW w:w="7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28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193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102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7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</w:t>
            </w:r>
          </w:p>
        </w:tc>
        <w:tc>
          <w:tcPr>
            <w:tcW w:w="128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攀枝花市</w:t>
            </w:r>
          </w:p>
        </w:tc>
        <w:tc>
          <w:tcPr>
            <w:tcW w:w="193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东区</w:t>
            </w:r>
          </w:p>
        </w:tc>
        <w:tc>
          <w:tcPr>
            <w:tcW w:w="102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1.6977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7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128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甘孜州</w:t>
            </w:r>
          </w:p>
        </w:tc>
        <w:tc>
          <w:tcPr>
            <w:tcW w:w="193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得荣县</w:t>
            </w:r>
          </w:p>
        </w:tc>
        <w:tc>
          <w:tcPr>
            <w:tcW w:w="102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1.7090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7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</w:t>
            </w:r>
          </w:p>
        </w:tc>
        <w:tc>
          <w:tcPr>
            <w:tcW w:w="128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成都市</w:t>
            </w:r>
          </w:p>
        </w:tc>
        <w:tc>
          <w:tcPr>
            <w:tcW w:w="193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龙泉驿区</w:t>
            </w:r>
          </w:p>
        </w:tc>
        <w:tc>
          <w:tcPr>
            <w:tcW w:w="102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1.7263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7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</w:t>
            </w:r>
          </w:p>
        </w:tc>
        <w:tc>
          <w:tcPr>
            <w:tcW w:w="128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甘孜州</w:t>
            </w:r>
          </w:p>
        </w:tc>
        <w:tc>
          <w:tcPr>
            <w:tcW w:w="193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色达县</w:t>
            </w:r>
          </w:p>
        </w:tc>
        <w:tc>
          <w:tcPr>
            <w:tcW w:w="102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1.7483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7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5</w:t>
            </w:r>
          </w:p>
        </w:tc>
        <w:tc>
          <w:tcPr>
            <w:tcW w:w="128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甘孜州</w:t>
            </w:r>
          </w:p>
        </w:tc>
        <w:tc>
          <w:tcPr>
            <w:tcW w:w="193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稻城县</w:t>
            </w:r>
          </w:p>
        </w:tc>
        <w:tc>
          <w:tcPr>
            <w:tcW w:w="102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1.7698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7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6</w:t>
            </w:r>
          </w:p>
        </w:tc>
        <w:tc>
          <w:tcPr>
            <w:tcW w:w="128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雅安市</w:t>
            </w:r>
          </w:p>
        </w:tc>
        <w:tc>
          <w:tcPr>
            <w:tcW w:w="193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宝兴县</w:t>
            </w:r>
          </w:p>
        </w:tc>
        <w:tc>
          <w:tcPr>
            <w:tcW w:w="102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1.7857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7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7</w:t>
            </w:r>
          </w:p>
        </w:tc>
        <w:tc>
          <w:tcPr>
            <w:tcW w:w="128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攀枝花市</w:t>
            </w:r>
          </w:p>
        </w:tc>
        <w:tc>
          <w:tcPr>
            <w:tcW w:w="193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盐边县</w:t>
            </w:r>
          </w:p>
        </w:tc>
        <w:tc>
          <w:tcPr>
            <w:tcW w:w="102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1.7906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7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8</w:t>
            </w:r>
          </w:p>
        </w:tc>
        <w:tc>
          <w:tcPr>
            <w:tcW w:w="128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甘孜州</w:t>
            </w:r>
          </w:p>
        </w:tc>
        <w:tc>
          <w:tcPr>
            <w:tcW w:w="193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丹巴县</w:t>
            </w:r>
          </w:p>
        </w:tc>
        <w:tc>
          <w:tcPr>
            <w:tcW w:w="102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1.7948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7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9</w:t>
            </w:r>
          </w:p>
        </w:tc>
        <w:tc>
          <w:tcPr>
            <w:tcW w:w="128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攀枝花市</w:t>
            </w:r>
          </w:p>
        </w:tc>
        <w:tc>
          <w:tcPr>
            <w:tcW w:w="193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西区</w:t>
            </w:r>
          </w:p>
        </w:tc>
        <w:tc>
          <w:tcPr>
            <w:tcW w:w="102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1.7967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7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10</w:t>
            </w:r>
          </w:p>
        </w:tc>
        <w:tc>
          <w:tcPr>
            <w:tcW w:w="128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甘孜州</w:t>
            </w:r>
          </w:p>
        </w:tc>
        <w:tc>
          <w:tcPr>
            <w:tcW w:w="193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道孚县</w:t>
            </w:r>
          </w:p>
        </w:tc>
        <w:tc>
          <w:tcPr>
            <w:tcW w:w="102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1.7998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7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倒1</w:t>
            </w:r>
          </w:p>
        </w:tc>
        <w:tc>
          <w:tcPr>
            <w:tcW w:w="128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自贡市</w:t>
            </w:r>
          </w:p>
        </w:tc>
        <w:tc>
          <w:tcPr>
            <w:tcW w:w="193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沿滩区</w:t>
            </w:r>
          </w:p>
        </w:tc>
        <w:tc>
          <w:tcPr>
            <w:tcW w:w="102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5.9179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7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倒2</w:t>
            </w:r>
          </w:p>
        </w:tc>
        <w:tc>
          <w:tcPr>
            <w:tcW w:w="128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遂宁市</w:t>
            </w:r>
          </w:p>
        </w:tc>
        <w:tc>
          <w:tcPr>
            <w:tcW w:w="193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安居区</w:t>
            </w:r>
          </w:p>
        </w:tc>
        <w:tc>
          <w:tcPr>
            <w:tcW w:w="102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5.6878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7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倒3</w:t>
            </w:r>
          </w:p>
        </w:tc>
        <w:tc>
          <w:tcPr>
            <w:tcW w:w="128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自贡市</w:t>
            </w:r>
          </w:p>
        </w:tc>
        <w:tc>
          <w:tcPr>
            <w:tcW w:w="193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自流井区</w:t>
            </w:r>
          </w:p>
        </w:tc>
        <w:tc>
          <w:tcPr>
            <w:tcW w:w="102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5.2205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7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倒4</w:t>
            </w:r>
          </w:p>
        </w:tc>
        <w:tc>
          <w:tcPr>
            <w:tcW w:w="128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自贡市</w:t>
            </w:r>
          </w:p>
        </w:tc>
        <w:tc>
          <w:tcPr>
            <w:tcW w:w="193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贡井区</w:t>
            </w:r>
          </w:p>
        </w:tc>
        <w:tc>
          <w:tcPr>
            <w:tcW w:w="102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5.1640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7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倒5</w:t>
            </w:r>
          </w:p>
        </w:tc>
        <w:tc>
          <w:tcPr>
            <w:tcW w:w="128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南充市</w:t>
            </w:r>
          </w:p>
        </w:tc>
        <w:tc>
          <w:tcPr>
            <w:tcW w:w="193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顺庆区</w:t>
            </w:r>
          </w:p>
        </w:tc>
        <w:tc>
          <w:tcPr>
            <w:tcW w:w="102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5.1455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7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倒6</w:t>
            </w:r>
          </w:p>
        </w:tc>
        <w:tc>
          <w:tcPr>
            <w:tcW w:w="128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成都市</w:t>
            </w:r>
          </w:p>
        </w:tc>
        <w:tc>
          <w:tcPr>
            <w:tcW w:w="193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锦江区</w:t>
            </w:r>
          </w:p>
        </w:tc>
        <w:tc>
          <w:tcPr>
            <w:tcW w:w="102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5.0533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7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倒7</w:t>
            </w:r>
          </w:p>
        </w:tc>
        <w:tc>
          <w:tcPr>
            <w:tcW w:w="128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泸州市</w:t>
            </w:r>
          </w:p>
        </w:tc>
        <w:tc>
          <w:tcPr>
            <w:tcW w:w="193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泸县</w:t>
            </w:r>
          </w:p>
        </w:tc>
        <w:tc>
          <w:tcPr>
            <w:tcW w:w="102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4.9624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7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倒8</w:t>
            </w:r>
          </w:p>
        </w:tc>
        <w:tc>
          <w:tcPr>
            <w:tcW w:w="128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乐山市</w:t>
            </w:r>
          </w:p>
        </w:tc>
        <w:tc>
          <w:tcPr>
            <w:tcW w:w="193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井研县</w:t>
            </w:r>
          </w:p>
        </w:tc>
        <w:tc>
          <w:tcPr>
            <w:tcW w:w="102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4.8991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7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倒9</w:t>
            </w:r>
          </w:p>
        </w:tc>
        <w:tc>
          <w:tcPr>
            <w:tcW w:w="128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南充市</w:t>
            </w:r>
          </w:p>
        </w:tc>
        <w:tc>
          <w:tcPr>
            <w:tcW w:w="193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营山县</w:t>
            </w:r>
          </w:p>
        </w:tc>
        <w:tc>
          <w:tcPr>
            <w:tcW w:w="102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4.7411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2" w:hRule="atLeast"/>
          <w:jc w:val="center"/>
        </w:trPr>
        <w:tc>
          <w:tcPr>
            <w:tcW w:w="754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倒10</w:t>
            </w:r>
          </w:p>
        </w:tc>
        <w:tc>
          <w:tcPr>
            <w:tcW w:w="1286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遂宁市</w:t>
            </w:r>
          </w:p>
        </w:tc>
        <w:tc>
          <w:tcPr>
            <w:tcW w:w="1939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蓬溪县</w:t>
            </w:r>
          </w:p>
        </w:tc>
        <w:tc>
          <w:tcPr>
            <w:tcW w:w="1021" w:type="pct"/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4.7267</w:t>
            </w:r>
          </w:p>
        </w:tc>
      </w:tr>
    </w:tbl>
    <w:p>
      <w:pPr>
        <w:widowControl/>
        <w:spacing w:line="20" w:lineRule="exact"/>
        <w:jc w:val="left"/>
        <w:rPr>
          <w:b/>
          <w:color w:val="C0504D" w:themeColor="accent2"/>
          <w:spacing w:val="0"/>
          <w:szCs w:val="32"/>
          <w14:textFill>
            <w14:solidFill>
              <w14:schemeClr w14:val="accent2"/>
            </w14:solidFill>
          </w14:textFill>
        </w:rPr>
      </w:pPr>
      <w:r>
        <w:rPr>
          <w:b/>
          <w:color w:val="C0504D" w:themeColor="accent2"/>
          <w:spacing w:val="0"/>
          <w:szCs w:val="32"/>
          <w14:textFill>
            <w14:solidFill>
              <w14:schemeClr w14:val="accent2"/>
            </w14:solidFill>
          </w14:textFill>
        </w:rPr>
        <w:br w:type="page"/>
      </w:r>
    </w:p>
    <w:p>
      <w:pPr>
        <w:overflowPunct w:val="0"/>
        <w:topLinePunct/>
        <w:spacing w:line="600" w:lineRule="exact"/>
        <w:rPr>
          <w:rFonts w:eastAsia="黑体" w:cs="黑体"/>
          <w:spacing w:val="0"/>
          <w:szCs w:val="32"/>
        </w:rPr>
      </w:pPr>
      <w:r>
        <w:rPr>
          <w:rFonts w:hint="eastAsia" w:eastAsia="黑体" w:cs="黑体"/>
          <w:spacing w:val="0"/>
          <w:szCs w:val="32"/>
        </w:rPr>
        <w:t>附件3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/>
          <w:spacing w:val="0"/>
          <w:sz w:val="44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  <w:r>
        <w:rPr>
          <w:rFonts w:hint="eastAsia" w:eastAsia="方正小标宋简体" w:cs="方正大标宋简体"/>
          <w:spacing w:val="0"/>
          <w:sz w:val="44"/>
          <w:szCs w:val="32"/>
        </w:rPr>
        <w:t>2022年8月和1—8月21个市级城市环境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  <w:r>
        <w:rPr>
          <w:rFonts w:hint="eastAsia" w:eastAsia="方正小标宋简体" w:cs="方正大标宋简体"/>
          <w:spacing w:val="0"/>
          <w:sz w:val="44"/>
          <w:szCs w:val="32"/>
        </w:rPr>
        <w:t>空气质量状况及变化情况排名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/>
          <w:spacing w:val="0"/>
          <w:sz w:val="44"/>
          <w:szCs w:val="32"/>
        </w:rPr>
      </w:pP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483"/>
        <w:gridCol w:w="1571"/>
        <w:gridCol w:w="1312"/>
        <w:gridCol w:w="1461"/>
        <w:gridCol w:w="1657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8月排名情况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24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阿坝</w:t>
            </w:r>
            <w:r>
              <w:rPr>
                <w:rFonts w:hint="eastAsia"/>
                <w:spacing w:val="0"/>
                <w:sz w:val="28"/>
                <w:szCs w:val="28"/>
              </w:rPr>
              <w:t>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1.42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阿坝</w:t>
            </w:r>
            <w:r>
              <w:rPr>
                <w:rFonts w:hint="eastAsia"/>
                <w:spacing w:val="0"/>
                <w:sz w:val="28"/>
                <w:szCs w:val="28"/>
              </w:rPr>
              <w:t>州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-24.50%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甘孜</w:t>
            </w:r>
            <w:r>
              <w:rPr>
                <w:rFonts w:hint="eastAsia"/>
                <w:spacing w:val="0"/>
                <w:sz w:val="28"/>
                <w:szCs w:val="28"/>
              </w:rPr>
              <w:t>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1.77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甘孜</w:t>
            </w:r>
            <w:r>
              <w:rPr>
                <w:rFonts w:hint="eastAsia"/>
                <w:spacing w:val="0"/>
                <w:sz w:val="28"/>
                <w:szCs w:val="28"/>
              </w:rPr>
              <w:t>州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-6.80%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巴中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2.31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攀枝花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-5.00%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4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南充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2.38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凉山</w:t>
            </w:r>
            <w:r>
              <w:rPr>
                <w:rFonts w:hint="eastAsia"/>
                <w:spacing w:val="0"/>
                <w:sz w:val="28"/>
                <w:szCs w:val="28"/>
              </w:rPr>
              <w:t>州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-3.60%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5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广元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2.4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5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泸州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-3.40%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6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广安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2.41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6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自贡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-0.40%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7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凉山</w:t>
            </w:r>
            <w:r>
              <w:rPr>
                <w:rFonts w:hint="eastAsia"/>
                <w:spacing w:val="0"/>
                <w:sz w:val="28"/>
                <w:szCs w:val="28"/>
              </w:rPr>
              <w:t>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2.42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7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内江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0.80%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8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雅安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2.48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8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达州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9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泸州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2.53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南充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4.80%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  <w:lang w:val="en"/>
              </w:rPr>
            </w:pPr>
            <w:r>
              <w:rPr>
                <w:spacing w:val="0"/>
                <w:sz w:val="28"/>
                <w:szCs w:val="28"/>
              </w:rPr>
              <w:t>10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内江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2.56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10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德阳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6.00%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11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资阳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2.62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宜宾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6.30%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12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达州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2.66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成都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6.90%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13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遂宁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2.67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绵阳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7.40%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14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自贡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2.71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雅安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7.80%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15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绵阳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2.75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15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广安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9.50%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16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德阳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2.81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16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乐山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12.20%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17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宜宾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3.04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17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巴中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12.70%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18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乐山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3.12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18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广元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14.80%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19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眉山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3.18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眉山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15.20%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20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攀枝花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3.23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20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遂宁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23.60%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21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成都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3.25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资阳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24.20%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1—8月排名情况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24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阿坝</w:t>
            </w:r>
            <w:r>
              <w:rPr>
                <w:rFonts w:hint="eastAsia"/>
                <w:spacing w:val="0"/>
                <w:sz w:val="28"/>
                <w:szCs w:val="28"/>
              </w:rPr>
              <w:t>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1.89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阿坝</w:t>
            </w:r>
            <w:r>
              <w:rPr>
                <w:rFonts w:hint="eastAsia"/>
                <w:spacing w:val="0"/>
                <w:sz w:val="28"/>
                <w:szCs w:val="28"/>
              </w:rPr>
              <w:t>州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-13.30%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甘孜</w:t>
            </w:r>
            <w:r>
              <w:rPr>
                <w:rFonts w:hint="eastAsia"/>
                <w:spacing w:val="0"/>
                <w:sz w:val="28"/>
                <w:szCs w:val="28"/>
              </w:rPr>
              <w:t>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2.05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攀枝花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-10.70%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凉山</w:t>
            </w:r>
            <w:r>
              <w:rPr>
                <w:rFonts w:hint="eastAsia"/>
                <w:spacing w:val="0"/>
                <w:sz w:val="28"/>
                <w:szCs w:val="28"/>
              </w:rPr>
              <w:t>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2.72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达州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-9.60%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4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巴中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自贡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-8.40%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5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雅安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3.07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5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南充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-6.10%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6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广元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3.15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6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泸州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-6.00%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7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广安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3.23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7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广安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-5.30%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8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南充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3.26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8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成都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-4.70%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9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遂宁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3.33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巴中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-3.80%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10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达州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3.49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内江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-3.80%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11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内江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3.55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宜宾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-3.60%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12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资阳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3.57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德阳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-2.50%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13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泸州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3.62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绵阳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-1.30%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14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自贡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3.69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广元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0.60%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15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绵阳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3.73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15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凉山</w:t>
            </w:r>
            <w:r>
              <w:rPr>
                <w:rFonts w:hint="eastAsia"/>
                <w:spacing w:val="0"/>
                <w:sz w:val="28"/>
                <w:szCs w:val="28"/>
              </w:rPr>
              <w:t>州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0.70%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16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攀枝花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3.74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16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遂宁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17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乐山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3.94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17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雅安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4.80%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18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德阳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3.96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17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乐山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4.80%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19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宜宾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4.03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眉山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5.20%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20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眉山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4.06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20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资阳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5.90%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21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成都</w:t>
            </w:r>
            <w:r>
              <w:rPr>
                <w:rFonts w:hint="eastAsia"/>
                <w:spacing w:val="0"/>
                <w:sz w:val="28"/>
                <w:szCs w:val="28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4.09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21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甘孜</w:t>
            </w:r>
            <w:r>
              <w:rPr>
                <w:rFonts w:hint="eastAsia"/>
                <w:spacing w:val="0"/>
                <w:sz w:val="28"/>
                <w:szCs w:val="28"/>
              </w:rPr>
              <w:t>州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10.80%</w:t>
            </w:r>
          </w:p>
        </w:tc>
      </w:tr>
    </w:tbl>
    <w:p>
      <w:pPr>
        <w:overflowPunct w:val="0"/>
        <w:topLinePunct/>
        <w:spacing w:line="600" w:lineRule="exact"/>
        <w:jc w:val="left"/>
        <w:rPr>
          <w:b/>
          <w:bCs/>
          <w:spacing w:val="0"/>
          <w:szCs w:val="32"/>
        </w:rPr>
      </w:pPr>
      <w:r>
        <w:rPr>
          <w:rFonts w:hint="eastAsia"/>
          <w:b/>
          <w:spacing w:val="0"/>
          <w:kern w:val="0"/>
          <w:sz w:val="28"/>
          <w:szCs w:val="28"/>
        </w:rPr>
        <w:t>注：变化率正为同比较差、负为同比较好（下同）。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b/>
          <w:spacing w:val="0"/>
          <w:sz w:val="36"/>
          <w:szCs w:val="48"/>
        </w:rPr>
      </w:pPr>
      <w:r>
        <w:rPr>
          <w:rFonts w:eastAsia="黑体"/>
          <w:b/>
          <w:spacing w:val="0"/>
          <w:szCs w:val="32"/>
        </w:rPr>
        <w:br w:type="page"/>
      </w:r>
      <w:r>
        <w:rPr>
          <w:rFonts w:hint="eastAsia" w:eastAsia="黑体" w:cs="黑体"/>
          <w:spacing w:val="0"/>
          <w:szCs w:val="32"/>
        </w:rPr>
        <w:t>附件4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b/>
          <w:spacing w:val="0"/>
          <w:szCs w:val="48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  <w:r>
        <w:rPr>
          <w:rFonts w:hint="eastAsia" w:eastAsia="方正小标宋简体" w:cs="方正大标宋简体"/>
          <w:spacing w:val="0"/>
          <w:sz w:val="44"/>
          <w:szCs w:val="32"/>
        </w:rPr>
        <w:t>2022年8月和1—8月55个市辖区及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  <w:r>
        <w:rPr>
          <w:rFonts w:hint="eastAsia" w:eastAsia="方正小标宋简体" w:cs="方正大标宋简体"/>
          <w:spacing w:val="0"/>
          <w:sz w:val="44"/>
          <w:szCs w:val="32"/>
        </w:rPr>
        <w:t>10个经济技术开发区城市环境空气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  <w:r>
        <w:rPr>
          <w:rFonts w:hint="eastAsia" w:eastAsia="方正小标宋简体" w:cs="方正大标宋简体"/>
          <w:spacing w:val="0"/>
          <w:sz w:val="44"/>
          <w:szCs w:val="32"/>
        </w:rPr>
        <w:t>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/>
          <w:spacing w:val="0"/>
          <w:sz w:val="44"/>
          <w:szCs w:val="44"/>
        </w:rPr>
      </w:pP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594"/>
        <w:gridCol w:w="3114"/>
        <w:gridCol w:w="824"/>
        <w:gridCol w:w="594"/>
        <w:gridCol w:w="2554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260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39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</w:t>
            </w:r>
          </w:p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指数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区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广元市朝天区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1.77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广安市前锋区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-16.3%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广元市昭化区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1.84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乐山市金口河区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-14.8%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广安市前锋区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泸州市江阳区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-11.2%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遂宁市安居区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2.02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攀枝花市西区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-7.9%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5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巴中市恩阳区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2.18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5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泸州市龙马潭区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-7.3%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倒1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成都市双流区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3.75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倒1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遂宁市船山区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33.6%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倒2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成都市青羊区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3.53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倒2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德阳市罗江区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27.7%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倒3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攀枝花市东区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3.48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倒3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雅安市名山区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27.3%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倒4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德阳市罗江区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3.46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倒4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广元经济技术开发区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22.6%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倒5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成都市金牛区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3.38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倒5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广元市朝天区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22.1%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1</w:t>
            </w:r>
            <w:r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  <w:t>－</w:t>
            </w: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260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39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  <w:t>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  <w:t>综合</w:t>
            </w:r>
          </w:p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  <w:t>指数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  <w:t>区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广元市朝天区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2.45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达州市达川区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-16.3%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遂宁市安居区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2.64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广安市前锋区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-15.6%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广元市昭化区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2.71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攀枝花市西区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-10.8%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广安市前锋区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2.87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自贡市自流井区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-10.2%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5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巴中市恩阳区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2.92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5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攀枝花市仁和区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-10.1%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倒1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成都市青羊区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4.45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倒1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遂宁市船山区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14.5%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倒2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成都市金牛区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4.28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倒2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广元市利州区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11.2%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倒3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成都高新技术产业开发区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4.23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倒3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雅安市名山区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9.2%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倒4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成都市新都区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4.2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倒4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雅安市雨城区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8.8%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倒4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成都市双流区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4.2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倒5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宜宾市叙州区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7.5%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倒4</w:t>
            </w:r>
          </w:p>
        </w:tc>
        <w:tc>
          <w:tcPr>
            <w:tcW w:w="1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成都市锦江区</w:t>
            </w: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4.2</w:t>
            </w:r>
          </w:p>
        </w:tc>
        <w:tc>
          <w:tcPr>
            <w:tcW w:w="3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/</w:t>
            </w:r>
          </w:p>
        </w:tc>
        <w:tc>
          <w:tcPr>
            <w:tcW w:w="12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/</w:t>
            </w:r>
          </w:p>
        </w:tc>
        <w:tc>
          <w:tcPr>
            <w:tcW w:w="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6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/</w:t>
            </w:r>
          </w:p>
        </w:tc>
      </w:tr>
    </w:tbl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/>
          <w:color w:val="C0504D" w:themeColor="accent2"/>
          <w:spacing w:val="0"/>
          <w:sz w:val="44"/>
          <w:szCs w:val="44"/>
          <w14:textFill>
            <w14:solidFill>
              <w14:schemeClr w14:val="accent2"/>
            </w14:solidFill>
          </w14:textFill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/>
          <w:color w:val="C0504D" w:themeColor="accent2"/>
          <w:spacing w:val="0"/>
          <w:sz w:val="44"/>
          <w:szCs w:val="44"/>
          <w14:textFill>
            <w14:solidFill>
              <w14:schemeClr w14:val="accent2"/>
            </w14:solidFill>
          </w14:textFill>
        </w:rPr>
      </w:pPr>
    </w:p>
    <w:p>
      <w:pPr>
        <w:spacing w:line="600" w:lineRule="exact"/>
        <w:rPr>
          <w:rFonts w:eastAsia="黑体"/>
          <w:b/>
          <w:spacing w:val="0"/>
          <w:sz w:val="36"/>
          <w:szCs w:val="48"/>
        </w:rPr>
      </w:pPr>
      <w:r>
        <w:rPr>
          <w:b/>
          <w:color w:val="C0504D" w:themeColor="accent2"/>
          <w:spacing w:val="0"/>
          <w:szCs w:val="32"/>
          <w14:textFill>
            <w14:solidFill>
              <w14:schemeClr w14:val="accent2"/>
            </w14:solidFill>
          </w14:textFill>
        </w:rPr>
        <w:br w:type="page"/>
      </w:r>
      <w:r>
        <w:rPr>
          <w:rFonts w:hint="eastAsia" w:eastAsia="黑体" w:cs="黑体"/>
          <w:spacing w:val="0"/>
          <w:szCs w:val="32"/>
        </w:rPr>
        <w:t>附件5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eastAsia="黑体"/>
          <w:b/>
          <w:spacing w:val="0"/>
          <w:szCs w:val="48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  <w:r>
        <w:rPr>
          <w:rFonts w:hint="eastAsia" w:eastAsia="方正小标宋简体" w:cs="方正大标宋简体"/>
          <w:spacing w:val="0"/>
          <w:sz w:val="44"/>
          <w:szCs w:val="32"/>
        </w:rPr>
        <w:t>2022年8月和1—8月128个县级城市环境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 w:cs="方正大标宋简体"/>
          <w:spacing w:val="0"/>
          <w:sz w:val="44"/>
          <w:szCs w:val="32"/>
        </w:rPr>
      </w:pPr>
      <w:r>
        <w:rPr>
          <w:rFonts w:hint="eastAsia" w:eastAsia="方正小标宋简体" w:cs="方正大标宋简体"/>
          <w:spacing w:val="0"/>
          <w:sz w:val="44"/>
          <w:szCs w:val="32"/>
        </w:rPr>
        <w:t>空气质量状况及变化情况排名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eastAsia="方正小标宋简体"/>
          <w:b/>
          <w:spacing w:val="0"/>
          <w:sz w:val="44"/>
          <w:szCs w:val="44"/>
        </w:rPr>
      </w:pP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902"/>
        <w:gridCol w:w="1575"/>
        <w:gridCol w:w="1577"/>
        <w:gridCol w:w="902"/>
        <w:gridCol w:w="2718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22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7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县（市）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县（市）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德格县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0.93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叙永县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-34.9%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石渠县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0.99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汉源县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-28.3%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巴塘县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1.02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石渠县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-27.7%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白玉县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1.04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红原县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-25.8%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5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甘孜县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1.06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5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得荣县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-23.6%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5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若尔盖县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1.06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6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会理市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-22.8%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7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道孚县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1.07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7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峨边彝族自治县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-20.9%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8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金川县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1.08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8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若尔盖县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-19.7%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9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红原县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1.12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8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珙县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-19.7%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10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新龙县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1.16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10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筠连县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-19.4%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倒1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青神县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3.26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倒1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阆中市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43.4%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倒2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夹江县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3.22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倒2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青神县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37.6%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倒3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崇州市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3.07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倒3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营山县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35.8%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倒4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广汉市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2.96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倒4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开江县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31.6%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倒5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屏山县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2.91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倒5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富顺县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31.4%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倒6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隆昌市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2.86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倒6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北川县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30.2%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倒6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丹棱县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2.86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倒7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泸定县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28.8%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倒8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安岳县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2.85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倒8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西充县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28.4%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倒9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蒲江县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2.82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倒9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宣汉县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27.7%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4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倒9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资中县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2.82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倒10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南部县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27.4%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1-8月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22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7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县（市）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排名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县（市）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eastAsia="黑体" w:cs="宋体"/>
                <w:bCs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bCs/>
                <w:spacing w:val="0"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德格县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1.25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红原县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-28.2%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道孚县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1.29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叙永县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-24.3%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金川县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1.36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盐边县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-18.1%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小金县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1.46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兴文县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-16.1%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5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红原县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1.48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5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平昌县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-15.7%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6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巴塘县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1.5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6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壤塘县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-14.8%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7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新龙县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1.51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7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米易县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-13.7%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8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甘孜县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1.52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8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宁南县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-13.5%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9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得荣县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1.53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9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古蔺县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-12.6%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10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木里县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1.55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10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通江县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-11.9%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倒1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广汉市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4.08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倒1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喜德县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39.5%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倒2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夹江县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3.96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倒2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炉霍县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30.5%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倒3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泸县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3.84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倒3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泸定县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29.3%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倒4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崇州市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3.82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倒4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布拖县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14.5%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倒5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安岳县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3.76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倒5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青神县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14.1%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倒5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什邡市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3.76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倒6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盐亭县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倒7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丹棱县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3.74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倒7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沐川县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11.4%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倒8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隆昌市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3.68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倒8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冕宁县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11.0%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倒9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彭州市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3.65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倒9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乐至县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10.9%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倒10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仁寿县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3.61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倒10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康定市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10.2%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80" w:hRule="atLeast"/>
          <w:jc w:val="center"/>
        </w:trPr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倒10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井研县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3.61</w:t>
            </w:r>
          </w:p>
        </w:tc>
        <w:tc>
          <w:tcPr>
            <w:tcW w:w="5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倒10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乡城县</w:t>
            </w:r>
          </w:p>
        </w:tc>
        <w:tc>
          <w:tcPr>
            <w:tcW w:w="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10.2%</w:t>
            </w:r>
          </w:p>
        </w:tc>
      </w:tr>
    </w:tbl>
    <w:p>
      <w:pPr>
        <w:overflowPunct w:val="0"/>
        <w:topLinePunct/>
        <w:adjustRightInd w:val="0"/>
        <w:snapToGrid w:val="0"/>
        <w:spacing w:line="600" w:lineRule="exact"/>
        <w:rPr>
          <w:rFonts w:eastAsia="黑体" w:cs="黑体"/>
          <w:spacing w:val="0"/>
          <w:szCs w:val="32"/>
        </w:rPr>
      </w:pPr>
    </w:p>
    <w:p>
      <w:pPr>
        <w:widowControl/>
        <w:spacing w:line="600" w:lineRule="exact"/>
        <w:jc w:val="left"/>
        <w:rPr>
          <w:rFonts w:eastAsia="黑体"/>
          <w:spacing w:val="0"/>
          <w:szCs w:val="32"/>
        </w:rPr>
      </w:pPr>
      <w:r>
        <w:rPr>
          <w:rFonts w:eastAsia="黑体"/>
          <w:spacing w:val="0"/>
          <w:szCs w:val="32"/>
        </w:rPr>
        <w:br w:type="page"/>
      </w:r>
    </w:p>
    <w:p>
      <w:pPr>
        <w:overflowPunct w:val="0"/>
        <w:topLinePunct/>
        <w:spacing w:line="600" w:lineRule="exact"/>
        <w:rPr>
          <w:rFonts w:eastAsia="黑体"/>
          <w:spacing w:val="0"/>
          <w:szCs w:val="32"/>
        </w:rPr>
      </w:pPr>
    </w:p>
    <w:p>
      <w:pPr>
        <w:overflowPunct w:val="0"/>
        <w:topLinePunct/>
        <w:spacing w:line="600" w:lineRule="exact"/>
        <w:rPr>
          <w:rFonts w:eastAsia="黑体"/>
          <w:spacing w:val="0"/>
          <w:szCs w:val="32"/>
        </w:rPr>
      </w:pPr>
    </w:p>
    <w:p>
      <w:pPr>
        <w:overflowPunct w:val="0"/>
        <w:topLinePunct/>
        <w:spacing w:line="600" w:lineRule="exact"/>
        <w:rPr>
          <w:rFonts w:eastAsia="黑体"/>
          <w:spacing w:val="0"/>
          <w:szCs w:val="32"/>
        </w:rPr>
      </w:pPr>
    </w:p>
    <w:p>
      <w:pPr>
        <w:overflowPunct w:val="0"/>
        <w:topLinePunct/>
        <w:spacing w:line="600" w:lineRule="exact"/>
        <w:rPr>
          <w:rFonts w:eastAsia="黑体"/>
          <w:spacing w:val="0"/>
          <w:szCs w:val="32"/>
        </w:rPr>
      </w:pPr>
    </w:p>
    <w:p>
      <w:pPr>
        <w:overflowPunct w:val="0"/>
        <w:topLinePunct/>
        <w:spacing w:line="600" w:lineRule="exact"/>
        <w:rPr>
          <w:rFonts w:eastAsia="黑体"/>
          <w:spacing w:val="0"/>
          <w:szCs w:val="32"/>
        </w:rPr>
      </w:pPr>
    </w:p>
    <w:p>
      <w:pPr>
        <w:overflowPunct w:val="0"/>
        <w:topLinePunct/>
        <w:spacing w:line="600" w:lineRule="exact"/>
        <w:rPr>
          <w:rFonts w:eastAsia="黑体"/>
          <w:spacing w:val="0"/>
          <w:szCs w:val="32"/>
        </w:rPr>
      </w:pPr>
    </w:p>
    <w:p>
      <w:pPr>
        <w:overflowPunct w:val="0"/>
        <w:topLinePunct/>
        <w:spacing w:line="600" w:lineRule="exact"/>
        <w:rPr>
          <w:rFonts w:eastAsia="黑体"/>
          <w:spacing w:val="0"/>
          <w:szCs w:val="32"/>
        </w:rPr>
      </w:pPr>
    </w:p>
    <w:p>
      <w:pPr>
        <w:overflowPunct w:val="0"/>
        <w:topLinePunct/>
        <w:spacing w:line="600" w:lineRule="exact"/>
        <w:rPr>
          <w:rFonts w:eastAsia="黑体"/>
          <w:spacing w:val="0"/>
          <w:szCs w:val="32"/>
        </w:rPr>
      </w:pPr>
    </w:p>
    <w:p>
      <w:pPr>
        <w:overflowPunct w:val="0"/>
        <w:topLinePunct/>
        <w:spacing w:line="600" w:lineRule="exact"/>
        <w:rPr>
          <w:rFonts w:eastAsia="黑体"/>
          <w:spacing w:val="0"/>
          <w:szCs w:val="32"/>
        </w:rPr>
      </w:pPr>
    </w:p>
    <w:p>
      <w:pPr>
        <w:overflowPunct w:val="0"/>
        <w:topLinePunct/>
        <w:spacing w:line="600" w:lineRule="exact"/>
        <w:rPr>
          <w:rFonts w:eastAsia="黑体"/>
          <w:spacing w:val="0"/>
          <w:szCs w:val="32"/>
        </w:rPr>
      </w:pPr>
    </w:p>
    <w:p>
      <w:pPr>
        <w:overflowPunct w:val="0"/>
        <w:topLinePunct/>
        <w:spacing w:line="600" w:lineRule="exact"/>
        <w:rPr>
          <w:rFonts w:eastAsia="黑体"/>
          <w:spacing w:val="0"/>
          <w:szCs w:val="32"/>
        </w:rPr>
      </w:pPr>
    </w:p>
    <w:p>
      <w:pPr>
        <w:overflowPunct w:val="0"/>
        <w:topLinePunct/>
        <w:spacing w:line="600" w:lineRule="exact"/>
        <w:rPr>
          <w:rFonts w:eastAsia="黑体"/>
          <w:spacing w:val="0"/>
          <w:szCs w:val="32"/>
        </w:rPr>
      </w:pPr>
    </w:p>
    <w:p>
      <w:pPr>
        <w:overflowPunct w:val="0"/>
        <w:topLinePunct/>
        <w:spacing w:line="600" w:lineRule="exact"/>
        <w:rPr>
          <w:rFonts w:eastAsia="黑体"/>
          <w:spacing w:val="0"/>
          <w:szCs w:val="32"/>
        </w:rPr>
      </w:pPr>
    </w:p>
    <w:p>
      <w:pPr>
        <w:overflowPunct w:val="0"/>
        <w:topLinePunct/>
        <w:spacing w:line="600" w:lineRule="exact"/>
        <w:rPr>
          <w:rFonts w:eastAsia="黑体"/>
          <w:spacing w:val="0"/>
          <w:szCs w:val="32"/>
        </w:rPr>
      </w:pPr>
    </w:p>
    <w:p>
      <w:pPr>
        <w:overflowPunct w:val="0"/>
        <w:topLinePunct/>
        <w:spacing w:line="600" w:lineRule="exact"/>
        <w:rPr>
          <w:rFonts w:eastAsia="黑体"/>
          <w:spacing w:val="0"/>
          <w:szCs w:val="32"/>
        </w:rPr>
      </w:pPr>
    </w:p>
    <w:p>
      <w:pPr>
        <w:overflowPunct w:val="0"/>
        <w:topLinePunct/>
        <w:spacing w:line="600" w:lineRule="exact"/>
        <w:rPr>
          <w:rFonts w:eastAsia="黑体"/>
          <w:spacing w:val="0"/>
          <w:szCs w:val="32"/>
        </w:rPr>
      </w:pPr>
    </w:p>
    <w:p>
      <w:pPr>
        <w:overflowPunct w:val="0"/>
        <w:topLinePunct/>
        <w:spacing w:line="600" w:lineRule="exact"/>
        <w:rPr>
          <w:rFonts w:eastAsia="黑体"/>
          <w:spacing w:val="0"/>
          <w:szCs w:val="32"/>
        </w:rPr>
      </w:pPr>
    </w:p>
    <w:p>
      <w:pPr>
        <w:overflowPunct w:val="0"/>
        <w:topLinePunct/>
        <w:spacing w:line="600" w:lineRule="exact"/>
        <w:rPr>
          <w:rFonts w:eastAsia="黑体"/>
          <w:spacing w:val="0"/>
          <w:szCs w:val="32"/>
        </w:rPr>
      </w:pPr>
    </w:p>
    <w:p>
      <w:pPr>
        <w:overflowPunct w:val="0"/>
        <w:topLinePunct/>
        <w:spacing w:line="600" w:lineRule="exact"/>
        <w:rPr>
          <w:rFonts w:eastAsia="黑体"/>
          <w:spacing w:val="0"/>
          <w:szCs w:val="32"/>
        </w:rPr>
      </w:pPr>
    </w:p>
    <w:p>
      <w:pPr>
        <w:overflowPunct w:val="0"/>
        <w:topLinePunct/>
        <w:spacing w:line="600" w:lineRule="exact"/>
        <w:rPr>
          <w:rFonts w:eastAsia="黑体"/>
          <w:spacing w:val="0"/>
          <w:szCs w:val="32"/>
        </w:rPr>
      </w:pPr>
    </w:p>
    <w:p>
      <w:pPr>
        <w:overflowPunct w:val="0"/>
        <w:topLinePunct/>
        <w:spacing w:line="600" w:lineRule="exact"/>
        <w:rPr>
          <w:spacing w:val="0"/>
          <w:szCs w:val="32"/>
        </w:rPr>
      </w:pPr>
      <w:r>
        <w:rPr>
          <w:rFonts w:eastAsia="黑体"/>
          <w:spacing w:val="0"/>
          <w:szCs w:val="32"/>
        </w:rPr>
        <w:t>信息公开选项：</w:t>
      </w:r>
      <w:r>
        <w:rPr>
          <w:rFonts w:hint="eastAsia"/>
          <w:spacing w:val="0"/>
          <w:szCs w:val="32"/>
        </w:rPr>
        <w:t>主动</w:t>
      </w:r>
      <w:r>
        <w:rPr>
          <w:spacing w:val="0"/>
          <w:szCs w:val="32"/>
        </w:rPr>
        <w:t>公开</w:t>
      </w:r>
    </w:p>
    <w:p>
      <w:pPr>
        <w:overflowPunct w:val="0"/>
        <w:topLinePunct/>
        <w:spacing w:line="600" w:lineRule="exact"/>
        <w:ind w:left="308" w:leftChars="100" w:right="308" w:rightChars="100"/>
        <w:rPr>
          <w:spacing w:val="0"/>
        </w:rPr>
      </w:pPr>
      <w:r>
        <w:rPr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429260</wp:posOffset>
                </wp:positionV>
                <wp:extent cx="1506220" cy="578485"/>
                <wp:effectExtent l="0" t="0" r="18415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071" cy="5782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2pt;margin-top:33.8pt;height:45.55pt;width:118.6pt;z-index:251658240;v-text-anchor:middle;mso-width-relative:page;mso-height-relative:page;" fillcolor="#FFFFFF [3212]" filled="t" stroked="t" coordsize="21600,21600" o:gfxdata="UEsFBgAAAAAAAAAAAAAAAAAAAAAAAFBLAwQKAAAAAACHTuJAAAAAAAAAAAAAAAAABAAAAGRycy9Q&#10;SwMEFAAAAAgAh07iQMcLRmnZAAAACQEAAA8AAABkcnMvZG93bnJldi54bWxNj0FPwkAQhe8m/ofN&#10;mHiDLQ2WpnbLwcQET2IlynHoDm1Dd7fpLrT46x1Pcpy8L2++l68n04kLDb51VsFiHoEgWznd2lrB&#10;7vN1loLwAa3GzllScCUP6+L+LsdMu9F+0KUMteAS6zNU0ITQZ1L6qiGDfu56spwd3WAw8DnUUg84&#10;crnpZBxFiTTYWv7QYE8vDVWn8mwUbK/17mfqv9/q6h3Hr812X272S6UeHxbRM4hAU/iH4U+f1aFg&#10;p4M7W+1Fp2CWLplUkKwSEJzHccpTDgw+pSuQRS5vFxS/UEsDBBQAAAAIAIdO4kBgBbKjSAIAAJ4E&#10;AAAOAAAAZHJzL2Uyb0RvYy54bWytVM1uEzEQviPxDpbvdDchaUvUTRWlCkKKaKSCOE+8dnYl/zF2&#10;sgkvg8SNh+BxEK/B2NmmLXBAiBycGc94fr75Zq+u90azncTQOlvxwVnJmbTC1a3dVPz9u8WLS85C&#10;BFuDdlZW/CADv54+f3bV+YkcusbpWiKjIDZMOl/xJkY/KYogGmkgnDkvLRmVQwORVNwUNUJH0Y0u&#10;hmV5XnQOa49OyBDo9uZo5NMcXykp4q1SQUamK061xXxiPtfpLKZXMNkg+KYVfRnwD1UYaC0lPYW6&#10;gQhsi+1voUwr0AWn4plwpnBKtULmHqibQflLN3cNeJl7IXCCP8EU/l9Y8Xa3QtbWNDvOLBga0Y/P&#10;X79/+8IGCZvOhwm53PkV9logMTW6V2jSP7XA9hnPwwlPuY9M0OVgXJ6XFxRYkG18cTkcvkxBi4fX&#10;HkN8LZ1hSag40rwyjLBbhnh0vXdJyYLTbb1otc4KbtZzjWwHNNtF/vXRn7hpy7qKD8ejkuYvgDim&#10;NEQSjaeug91wBnpD5BURc+4nr8PfJUlF3kBojsXkCH0t2lLDCcYjcElau/pAoKM7sjF4sWjp/RJC&#10;XAES/ahQWql4S4fSjqp3vcRZ4/DTn+6TP7GCrJx1RGfq7OMWUHKm31jiy6vBaJT4n5XR+GJICj62&#10;rB9b7NbMHaFKo6Pqspj8o74XFTrzgTZvlrIq0IESgRWU/4hjr8wj6b2ZdljI2eykE/89xKW986Li&#10;EbeJ6DCxbraNTrV5+A9g9RjSEmT69Aubtuyxnr0ePivT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BYAAABkcnMvUEsBAhQAFAAAAAgAh07i&#10;QMcLRmnZAAAACQEAAA8AAAAAAAAAAQAgAAAAOAAAAGRycy9kb3ducmV2LnhtbFBLAQIUABQAAAAI&#10;AIdO4kBgBbKjSAIAAJ4EAAAOAAAAAAAAAAEAIAAAAD4BAABkcnMvZTJvRG9jLnhtbFBLBQYAAAAA&#10;BgAGAFkBAAD4BQAAAAA=&#10;">
                <v:fill on="t" focussize="0,0"/>
                <v:stroke weight="2pt" color="#FFFFFF [3212]" joinstyle="round"/>
                <v:imagedata o:title=""/>
                <o:lock v:ext="edit" aspectratio="f"/>
              </v:rect>
            </w:pict>
          </mc:Fallback>
        </mc:AlternateContent>
      </w:r>
      <w:r>
        <w:rPr>
          <w:spacing w:val="0"/>
          <w:sz w:val="28"/>
          <w:szCs w:val="28"/>
        </w:rPr>
        <w:t>抄送：各市（州）生态环境局</w:t>
      </w:r>
      <w:r>
        <w:rPr>
          <w:rFonts w:hint="eastAsia"/>
          <w:spacing w:val="0"/>
          <w:sz w:val="28"/>
          <w:szCs w:val="28"/>
        </w:rPr>
        <w:t>。</w:t>
      </w:r>
    </w:p>
    <w:sectPr>
      <w:headerReference r:id="rId5" w:type="default"/>
      <w:footerReference r:id="rId6" w:type="default"/>
      <w:footerReference r:id="rId7" w:type="even"/>
      <w:pgSz w:w="11906" w:h="16838"/>
      <w:pgMar w:top="2098" w:right="1474" w:bottom="1247" w:left="1588" w:header="851" w:footer="992" w:gutter="0"/>
      <w:cols w:space="425" w:num="1"/>
      <w:titlePg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</w:rPr>
      <w:id w:val="1207065679"/>
    </w:sdtPr>
    <w:sdtEndPr>
      <w:rPr>
        <w:rFonts w:hint="eastAsia" w:ascii="宋体" w:hAnsi="宋体" w:eastAsia="宋体"/>
        <w:sz w:val="28"/>
        <w:szCs w:val="28"/>
      </w:rPr>
    </w:sdtEndPr>
    <w:sdtContent>
      <w:p>
        <w:pPr>
          <w:pStyle w:val="5"/>
          <w:ind w:left="308" w:leftChars="100" w:right="308" w:rightChars="10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5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</w:rPr>
      <w:id w:val="-2142188160"/>
    </w:sdtPr>
    <w:sdtEndPr>
      <w:rPr>
        <w:rFonts w:hint="eastAsia" w:ascii="宋体" w:hAnsi="宋体" w:eastAsia="宋体"/>
        <w:sz w:val="28"/>
        <w:szCs w:val="28"/>
      </w:rPr>
    </w:sdtEndPr>
    <w:sdtContent>
      <w:p>
        <w:pPr>
          <w:pStyle w:val="5"/>
          <w:ind w:left="308" w:leftChars="100" w:right="308" w:rightChars="100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6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 w:val="true"/>
  <w:drawingGridHorizontalSpacing w:val="154"/>
  <w:drawingGridVerticalSpacing w:val="435"/>
  <w:displayHorizontalDrawingGridEvery w:val="0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5MDFkMmQ1YmViYmZmYmJkMTMxNGFlZTcyODk4YzAifQ=="/>
  </w:docVars>
  <w:rsids>
    <w:rsidRoot w:val="16E401CC"/>
    <w:rsid w:val="000915AE"/>
    <w:rsid w:val="003661B3"/>
    <w:rsid w:val="003F4354"/>
    <w:rsid w:val="00457A2F"/>
    <w:rsid w:val="004653E7"/>
    <w:rsid w:val="0052377F"/>
    <w:rsid w:val="00595C10"/>
    <w:rsid w:val="005D6A56"/>
    <w:rsid w:val="006C5BD3"/>
    <w:rsid w:val="007359FB"/>
    <w:rsid w:val="00801111"/>
    <w:rsid w:val="00997D9C"/>
    <w:rsid w:val="009B35AD"/>
    <w:rsid w:val="00A15379"/>
    <w:rsid w:val="00B20ABE"/>
    <w:rsid w:val="00B623B2"/>
    <w:rsid w:val="00D44B03"/>
    <w:rsid w:val="00DB0023"/>
    <w:rsid w:val="00DB2D11"/>
    <w:rsid w:val="00E516DE"/>
    <w:rsid w:val="00F11C4E"/>
    <w:rsid w:val="00F17B88"/>
    <w:rsid w:val="00F439DB"/>
    <w:rsid w:val="00F76795"/>
    <w:rsid w:val="01856881"/>
    <w:rsid w:val="031D25BF"/>
    <w:rsid w:val="064F0082"/>
    <w:rsid w:val="068F00E1"/>
    <w:rsid w:val="16E401CC"/>
    <w:rsid w:val="1AB04D0D"/>
    <w:rsid w:val="1E409DD1"/>
    <w:rsid w:val="22491C56"/>
    <w:rsid w:val="271B5070"/>
    <w:rsid w:val="29907C3F"/>
    <w:rsid w:val="2B7B5379"/>
    <w:rsid w:val="2BE412CA"/>
    <w:rsid w:val="2BF77F01"/>
    <w:rsid w:val="2D827D1E"/>
    <w:rsid w:val="34EC4C37"/>
    <w:rsid w:val="38A8133A"/>
    <w:rsid w:val="39DB03B0"/>
    <w:rsid w:val="3D5E0C45"/>
    <w:rsid w:val="3E8527A2"/>
    <w:rsid w:val="3F8ECC44"/>
    <w:rsid w:val="3FF38A2C"/>
    <w:rsid w:val="47A8519E"/>
    <w:rsid w:val="492905A3"/>
    <w:rsid w:val="49F8204D"/>
    <w:rsid w:val="4A015677"/>
    <w:rsid w:val="4C3E4EC8"/>
    <w:rsid w:val="4DAF4C6A"/>
    <w:rsid w:val="514F07F2"/>
    <w:rsid w:val="5BD5981F"/>
    <w:rsid w:val="5E0F1B60"/>
    <w:rsid w:val="613E2453"/>
    <w:rsid w:val="63C55155"/>
    <w:rsid w:val="66EB8ACA"/>
    <w:rsid w:val="67FE449C"/>
    <w:rsid w:val="6D717C1E"/>
    <w:rsid w:val="6EB758D0"/>
    <w:rsid w:val="759F3666"/>
    <w:rsid w:val="75DB226C"/>
    <w:rsid w:val="77FD4CFB"/>
    <w:rsid w:val="79AC5FC4"/>
    <w:rsid w:val="7B1240D2"/>
    <w:rsid w:val="7F6916AB"/>
    <w:rsid w:val="7F6F6FE8"/>
    <w:rsid w:val="B7874253"/>
    <w:rsid w:val="C57D65A5"/>
    <w:rsid w:val="D72F979C"/>
    <w:rsid w:val="DFEFE468"/>
    <w:rsid w:val="EC359C8E"/>
    <w:rsid w:val="F7FF02F8"/>
    <w:rsid w:val="FFDF8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6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nhideWhenUsed/>
    <w:qFormat/>
    <w:uiPriority w:val="99"/>
  </w:style>
  <w:style w:type="character" w:customStyle="1" w:styleId="10">
    <w:name w:val="页眉 字符"/>
    <w:basedOn w:val="8"/>
    <w:link w:val="6"/>
    <w:qFormat/>
    <w:uiPriority w:val="0"/>
    <w:rPr>
      <w:rFonts w:eastAsia="仿宋_GB2312"/>
      <w:spacing w:val="-6"/>
      <w:kern w:val="2"/>
      <w:sz w:val="18"/>
      <w:szCs w:val="18"/>
    </w:rPr>
  </w:style>
  <w:style w:type="character" w:customStyle="1" w:styleId="11">
    <w:name w:val="页脚 字符"/>
    <w:link w:val="5"/>
    <w:qFormat/>
    <w:uiPriority w:val="99"/>
    <w:rPr>
      <w:rFonts w:eastAsia="仿宋_GB2312"/>
      <w:spacing w:val="-6"/>
      <w:kern w:val="2"/>
    </w:rPr>
  </w:style>
  <w:style w:type="character" w:customStyle="1" w:styleId="12">
    <w:name w:val="批注框文本 字符"/>
    <w:basedOn w:val="8"/>
    <w:link w:val="4"/>
    <w:semiHidden/>
    <w:qFormat/>
    <w:uiPriority w:val="99"/>
    <w:rPr>
      <w:rFonts w:eastAsia="仿宋_GB2312"/>
      <w:spacing w:val="-6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879</Words>
  <Characters>5011</Characters>
  <Lines>41</Lines>
  <Paragraphs>11</Paragraphs>
  <TotalTime>13</TotalTime>
  <ScaleCrop>false</ScaleCrop>
  <LinksUpToDate>false</LinksUpToDate>
  <CharactersWithSpaces>5879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2016-04-22T03:31:00Z</dcterms:created>
  <dc:creator>Administrator</dc:creator>
  <cp:lastModifiedBy>user</cp:lastModifiedBy>
  <cp:lastPrinted>2022-10-09T08:53:00Z</cp:lastPrinted>
  <dcterms:modified xsi:type="dcterms:W3CDTF">2022-10-10T10:15:15Z</dcterms:modified>
  <dc:title>附件n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675E7AA0B5014E0297292DC341AEFFEB</vt:lpwstr>
  </property>
</Properties>
</file>