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A605C">
      <w:pPr>
        <w:pStyle w:val="2"/>
        <w:pageBreakBefore/>
        <w:snapToGrid w:val="0"/>
        <w:spacing w:before="0" w:after="0" w:line="312"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36"/>
          <w:szCs w:val="36"/>
          <w:highlight w:val="none"/>
        </w:rPr>
        <w:t>采购项目技术、服务、商务及其他要求</w:t>
      </w:r>
      <w:bookmarkStart w:id="0" w:name="_Hlk45530010"/>
    </w:p>
    <w:p w14:paraId="545EFB18">
      <w:pPr>
        <w:snapToGrid w:val="0"/>
        <w:spacing w:line="312" w:lineRule="auto"/>
        <w:ind w:firstLine="241" w:firstLineChars="100"/>
        <w:outlineLvl w:val="1"/>
        <w:rPr>
          <w:rFonts w:hint="eastAsia" w:ascii="仿宋" w:hAnsi="仿宋" w:eastAsia="仿宋" w:cs="仿宋"/>
          <w:b/>
          <w:color w:val="auto"/>
          <w:sz w:val="24"/>
          <w:highlight w:val="none"/>
        </w:rPr>
      </w:pPr>
      <w:r>
        <w:rPr>
          <w:rFonts w:hint="eastAsia" w:ascii="仿宋" w:hAnsi="仿宋" w:eastAsia="仿宋" w:cs="仿宋"/>
          <w:b/>
          <w:bCs/>
          <w:color w:val="auto"/>
          <w:kern w:val="44"/>
          <w:sz w:val="24"/>
          <w:highlight w:val="none"/>
        </w:rPr>
        <w:t>注：本章中</w:t>
      </w:r>
      <w:r>
        <w:rPr>
          <w:rFonts w:hint="eastAsia" w:ascii="仿宋" w:hAnsi="仿宋" w:eastAsia="仿宋" w:cs="仿宋"/>
          <w:b/>
          <w:color w:val="auto"/>
          <w:sz w:val="24"/>
          <w:highlight w:val="none"/>
        </w:rPr>
        <w:t>带“★”项内容为本项目实质性要求，未响应或不满足，按无效响应处理。</w:t>
      </w:r>
      <w:bookmarkStart w:id="35" w:name="_GoBack"/>
      <w:bookmarkEnd w:id="35"/>
      <w:r>
        <w:rPr>
          <w:rFonts w:hint="eastAsia" w:ascii="仿宋" w:hAnsi="仿宋" w:eastAsia="仿宋" w:cs="仿宋"/>
          <w:b/>
          <w:color w:val="auto"/>
          <w:sz w:val="28"/>
          <w:szCs w:val="28"/>
          <w:highlight w:val="none"/>
        </w:rPr>
        <w:br w:type="textWrapping"/>
      </w:r>
      <w:r>
        <w:rPr>
          <w:rFonts w:hint="eastAsia" w:ascii="仿宋" w:hAnsi="仿宋" w:eastAsia="仿宋" w:cs="仿宋"/>
          <w:b/>
          <w:bCs/>
          <w:color w:val="auto"/>
          <w:kern w:val="44"/>
          <w:sz w:val="28"/>
          <w:szCs w:val="28"/>
          <w:highlight w:val="none"/>
        </w:rPr>
        <w:t>一、项目概况</w:t>
      </w:r>
    </w:p>
    <w:p w14:paraId="7A1F6683">
      <w:pPr>
        <w:snapToGrid w:val="0"/>
        <w:spacing w:line="312" w:lineRule="auto"/>
        <w:ind w:firstLine="281" w:firstLineChars="100"/>
        <w:outlineLvl w:val="1"/>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（一）项目概述</w:t>
      </w:r>
    </w:p>
    <w:p w14:paraId="78D6D3A0">
      <w:pPr>
        <w:snapToGrid w:val="0"/>
        <w:spacing w:line="312" w:lineRule="auto"/>
        <w:ind w:firstLine="480" w:firstLineChars="200"/>
        <w:rPr>
          <w:rFonts w:hint="eastAsia" w:ascii="仿宋" w:hAnsi="仿宋" w:eastAsia="仿宋" w:cs="仿宋"/>
          <w:color w:val="auto"/>
          <w:kern w:val="44"/>
          <w:sz w:val="24"/>
          <w:highlight w:val="none"/>
        </w:rPr>
      </w:pPr>
      <w:r>
        <w:rPr>
          <w:rFonts w:hint="eastAsia" w:ascii="仿宋" w:hAnsi="仿宋" w:eastAsia="仿宋" w:cs="仿宋"/>
          <w:color w:val="auto"/>
          <w:kern w:val="44"/>
          <w:sz w:val="24"/>
          <w:highlight w:val="none"/>
        </w:rPr>
        <w:t>在持续深入打好污染防治攻坚战及碳达峰碳中和国家战略目标下，成渝地区发展阶段、产业结构、能源禀赋等与其他地区存在显著差异，因地制宜研究制订成渝地区双城经济圈及重点城市空气质量改善和低碳协同路径，对成渝地区实现全面绿色转型具有重要意义。</w:t>
      </w:r>
    </w:p>
    <w:p w14:paraId="0464C7DF">
      <w:pPr>
        <w:snapToGrid w:val="0"/>
        <w:spacing w:line="312" w:lineRule="auto"/>
        <w:ind w:firstLine="480" w:firstLineChars="200"/>
        <w:rPr>
          <w:rFonts w:hint="eastAsia" w:ascii="仿宋" w:hAnsi="仿宋" w:eastAsia="仿宋" w:cs="仿宋"/>
          <w:color w:val="auto"/>
          <w:kern w:val="44"/>
          <w:sz w:val="24"/>
          <w:highlight w:val="none"/>
        </w:rPr>
      </w:pPr>
      <w:r>
        <w:rPr>
          <w:rFonts w:hint="eastAsia" w:ascii="仿宋" w:hAnsi="仿宋" w:eastAsia="仿宋" w:cs="仿宋"/>
          <w:color w:val="auto"/>
          <w:kern w:val="44"/>
          <w:sz w:val="24"/>
          <w:highlight w:val="none"/>
        </w:rPr>
        <w:t>获取成渝地区长时间序列的多测站、多种类的气候气象统计分析资料，可用于成渝地区气候气象要素模型模拟效果评估与验证，深入挖掘分析成渝地区气候气象条件变化趋势，更好地支撑国家重点研发计划课题研究。同时，相关研究成果将服务于持续打好蓝天保卫战、美丽四川建设等。</w:t>
      </w:r>
    </w:p>
    <w:p w14:paraId="6E49C55F">
      <w:pPr>
        <w:snapToGrid w:val="0"/>
        <w:spacing w:line="312" w:lineRule="auto"/>
        <w:ind w:firstLine="480" w:firstLineChars="200"/>
        <w:rPr>
          <w:rFonts w:hint="eastAsia" w:ascii="仿宋" w:hAnsi="仿宋" w:eastAsia="仿宋" w:cs="仿宋"/>
          <w:b/>
          <w:bCs/>
          <w:color w:val="auto"/>
          <w:kern w:val="44"/>
          <w:sz w:val="28"/>
          <w:szCs w:val="28"/>
          <w:highlight w:val="none"/>
        </w:rPr>
      </w:pPr>
      <w:r>
        <w:rPr>
          <w:rFonts w:hint="eastAsia" w:ascii="仿宋" w:hAnsi="仿宋" w:eastAsia="仿宋" w:cs="仿宋"/>
          <w:color w:val="auto"/>
          <w:kern w:val="44"/>
          <w:sz w:val="24"/>
          <w:highlight w:val="none"/>
        </w:rPr>
        <w:t>成渝地区气象资料产品服务项目，本次采购共分1个包。</w:t>
      </w:r>
    </w:p>
    <w:p w14:paraId="6F89FCF0">
      <w:pPr>
        <w:snapToGrid w:val="0"/>
        <w:spacing w:line="312" w:lineRule="auto"/>
        <w:ind w:firstLine="281" w:firstLineChars="100"/>
        <w:outlineLvl w:val="1"/>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（二）标的名称及所属行业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974"/>
        <w:gridCol w:w="2779"/>
      </w:tblGrid>
      <w:tr w14:paraId="5B94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86" w:type="dxa"/>
            <w:noWrap w:val="0"/>
            <w:vAlign w:val="center"/>
          </w:tcPr>
          <w:p w14:paraId="2EA3A052">
            <w:pPr>
              <w:pStyle w:val="3"/>
              <w:snapToGrid w:val="0"/>
              <w:spacing w:line="312"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215" w:type="dxa"/>
            <w:noWrap w:val="0"/>
            <w:vAlign w:val="center"/>
          </w:tcPr>
          <w:p w14:paraId="60F1AECA">
            <w:pPr>
              <w:pStyle w:val="3"/>
              <w:snapToGrid w:val="0"/>
              <w:spacing w:line="312"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标的名称</w:t>
            </w:r>
          </w:p>
        </w:tc>
        <w:tc>
          <w:tcPr>
            <w:tcW w:w="2903" w:type="dxa"/>
            <w:noWrap w:val="0"/>
            <w:vAlign w:val="center"/>
          </w:tcPr>
          <w:p w14:paraId="0DCF3706">
            <w:pPr>
              <w:pStyle w:val="3"/>
              <w:snapToGrid w:val="0"/>
              <w:spacing w:line="312" w:lineRule="auto"/>
              <w:ind w:firstLine="0" w:firstLineChars="0"/>
              <w:jc w:val="center"/>
              <w:rPr>
                <w:rFonts w:hint="eastAsia" w:ascii="仿宋" w:hAnsi="仿宋" w:eastAsia="仿宋" w:cs="仿宋"/>
                <w:color w:val="auto"/>
                <w:kern w:val="44"/>
                <w:sz w:val="24"/>
                <w:highlight w:val="none"/>
              </w:rPr>
            </w:pPr>
            <w:r>
              <w:rPr>
                <w:rFonts w:hint="eastAsia" w:ascii="仿宋" w:hAnsi="仿宋" w:eastAsia="仿宋" w:cs="仿宋"/>
                <w:b/>
                <w:color w:val="auto"/>
                <w:sz w:val="24"/>
                <w:highlight w:val="none"/>
              </w:rPr>
              <w:t>所属行业</w:t>
            </w:r>
          </w:p>
        </w:tc>
      </w:tr>
      <w:tr w14:paraId="0457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86" w:type="dxa"/>
            <w:noWrap w:val="0"/>
            <w:vAlign w:val="center"/>
          </w:tcPr>
          <w:p w14:paraId="54333B70">
            <w:pPr>
              <w:pStyle w:val="3"/>
              <w:snapToGrid w:val="0"/>
              <w:spacing w:line="312" w:lineRule="auto"/>
              <w:ind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5215" w:type="dxa"/>
            <w:noWrap w:val="0"/>
            <w:vAlign w:val="center"/>
          </w:tcPr>
          <w:p w14:paraId="2590C5B6">
            <w:pPr>
              <w:pStyle w:val="3"/>
              <w:snapToGrid w:val="0"/>
              <w:spacing w:line="312" w:lineRule="auto"/>
              <w:ind w:firstLine="0" w:firstLineChars="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成渝地区气象资料产品服务</w:t>
            </w:r>
          </w:p>
        </w:tc>
        <w:tc>
          <w:tcPr>
            <w:tcW w:w="2903" w:type="dxa"/>
            <w:noWrap w:val="0"/>
            <w:vAlign w:val="center"/>
          </w:tcPr>
          <w:p w14:paraId="4EFD0C65">
            <w:pPr>
              <w:pStyle w:val="3"/>
              <w:snapToGrid w:val="0"/>
              <w:spacing w:line="312" w:lineRule="auto"/>
              <w:ind w:firstLine="0" w:firstLineChars="0"/>
              <w:jc w:val="center"/>
              <w:rPr>
                <w:rFonts w:ascii="仿宋" w:hAnsi="仿宋" w:eastAsia="仿宋" w:cs="仿宋"/>
                <w:color w:val="auto"/>
                <w:kern w:val="44"/>
                <w:sz w:val="24"/>
                <w:highlight w:val="none"/>
              </w:rPr>
            </w:pPr>
            <w:r>
              <w:rPr>
                <w:rFonts w:ascii="仿宋" w:hAnsi="仿宋" w:eastAsia="仿宋" w:cs="仿宋"/>
                <w:color w:val="auto"/>
                <w:kern w:val="44"/>
                <w:sz w:val="24"/>
                <w:highlight w:val="none"/>
              </w:rPr>
              <w:t>其他未列明行业</w:t>
            </w:r>
          </w:p>
        </w:tc>
      </w:tr>
    </w:tbl>
    <w:p w14:paraId="2CC25F0D">
      <w:pPr>
        <w:snapToGrid w:val="0"/>
        <w:spacing w:line="312" w:lineRule="auto"/>
        <w:ind w:firstLine="480" w:firstLineChars="200"/>
        <w:rPr>
          <w:rFonts w:hint="eastAsia" w:ascii="仿宋" w:hAnsi="仿宋" w:eastAsia="仿宋" w:cs="仿宋"/>
          <w:color w:val="auto"/>
          <w:kern w:val="44"/>
          <w:sz w:val="24"/>
          <w:highlight w:val="none"/>
        </w:rPr>
      </w:pPr>
      <w:r>
        <w:rPr>
          <w:rFonts w:hint="eastAsia" w:ascii="仿宋" w:hAnsi="仿宋" w:eastAsia="仿宋" w:cs="仿宋"/>
          <w:color w:val="auto"/>
          <w:kern w:val="44"/>
          <w:sz w:val="24"/>
          <w:highlight w:val="none"/>
        </w:rPr>
        <w:t>注：1、上表中“所属行业”系指“《工业和信息化部、国家统计局、国家发展和改革委员会、财政部关于印发中小企业划型标准规定的通知》（工信部联企业〔2011〕300号文件）、《统计上大中小微型企业划分办法（2017）》附表：统计上大中小微型企业划分标准”规定的中小企业划型标准所属行业。</w:t>
      </w:r>
    </w:p>
    <w:p w14:paraId="6CCAD250">
      <w:pPr>
        <w:snapToGrid w:val="0"/>
        <w:spacing w:line="312" w:lineRule="auto"/>
        <w:ind w:firstLine="482" w:firstLineChars="200"/>
        <w:rPr>
          <w:rFonts w:ascii="仿宋" w:hAnsi="仿宋" w:eastAsia="仿宋" w:cs="仿宋"/>
          <w:b/>
          <w:bCs/>
          <w:color w:val="auto"/>
          <w:kern w:val="0"/>
          <w:sz w:val="24"/>
          <w:szCs w:val="24"/>
          <w:highlight w:val="none"/>
        </w:rPr>
      </w:pPr>
      <w:r>
        <w:rPr>
          <w:rFonts w:hint="eastAsia" w:ascii="仿宋" w:hAnsi="仿宋" w:eastAsia="仿宋" w:cs="仿宋"/>
          <w:b/>
          <w:bCs/>
          <w:color w:val="auto"/>
          <w:kern w:val="44"/>
          <w:sz w:val="24"/>
          <w:highlight w:val="none"/>
        </w:rPr>
        <w:t>2、供应商应按照上表所列标的名称、所属行业填写《中小企业声明函》</w:t>
      </w:r>
      <w:r>
        <w:rPr>
          <w:rFonts w:hint="eastAsia" w:ascii="仿宋" w:hAnsi="仿宋" w:eastAsia="仿宋" w:cs="仿宋"/>
          <w:b/>
          <w:bCs/>
          <w:color w:val="auto"/>
          <w:kern w:val="0"/>
          <w:sz w:val="24"/>
          <w:szCs w:val="24"/>
          <w:highlight w:val="none"/>
        </w:rPr>
        <w:t>。</w:t>
      </w:r>
    </w:p>
    <w:p w14:paraId="07167CE2">
      <w:pPr>
        <w:pStyle w:val="4"/>
        <w:rPr>
          <w:rFonts w:hint="eastAsia"/>
          <w:color w:val="auto"/>
          <w:highlight w:val="none"/>
        </w:rPr>
      </w:pPr>
    </w:p>
    <w:p w14:paraId="027188A2">
      <w:pPr>
        <w:snapToGrid w:val="0"/>
        <w:spacing w:line="312" w:lineRule="auto"/>
        <w:outlineLvl w:val="1"/>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二、技术、服务要求</w:t>
      </w:r>
    </w:p>
    <w:p w14:paraId="4F0B580B">
      <w:pPr>
        <w:snapToGrid w:val="0"/>
        <w:spacing w:line="312" w:lineRule="auto"/>
        <w:ind w:firstLine="562" w:firstLineChars="200"/>
        <w:outlineLvl w:val="1"/>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（一）服务内容及要求</w:t>
      </w:r>
    </w:p>
    <w:p w14:paraId="486521A9">
      <w:pPr>
        <w:snapToGrid w:val="0"/>
        <w:spacing w:line="312" w:lineRule="auto"/>
        <w:ind w:firstLine="240" w:firstLineChars="1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采购数据分析服务包括统计分析从2010年至2018年以及2024年至2025年四川省和重庆市气象要素站点分析产品，产品类型包括气压、气温、相对湿度、风速、风向、降雨等。产品时间分辨率包括小时、日、月、季度、年。产品空间分辨率为站点和城市。</w:t>
      </w:r>
    </w:p>
    <w:p w14:paraId="57A41920">
      <w:pPr>
        <w:snapToGrid w:val="0"/>
        <w:spacing w:line="312" w:lineRule="auto"/>
        <w:ind w:firstLine="240" w:firstLineChars="1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★2、完成《成渝地区气象资料产品服务》报告1套。</w:t>
      </w:r>
    </w:p>
    <w:p w14:paraId="42148E10">
      <w:pPr>
        <w:snapToGrid w:val="0"/>
        <w:spacing w:line="312"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3、供应商应结合本项目采购需求编制项目技术服务方案，包括①工作目标、②人员安排、③功能模块设计、④技术培训、⑤风险管理。</w:t>
      </w:r>
    </w:p>
    <w:p w14:paraId="69466950">
      <w:pPr>
        <w:snapToGrid w:val="0"/>
        <w:spacing w:line="312" w:lineRule="auto"/>
        <w:ind w:firstLine="240" w:firstLineChars="100"/>
        <w:rPr>
          <w:rFonts w:hint="eastAsia" w:ascii="仿宋" w:hAnsi="仿宋" w:eastAsia="仿宋" w:cs="仿宋"/>
          <w:b/>
          <w:bCs/>
          <w:color w:val="auto"/>
          <w:kern w:val="44"/>
          <w:sz w:val="28"/>
          <w:szCs w:val="28"/>
          <w:highlight w:val="none"/>
        </w:rPr>
      </w:pPr>
      <w:r>
        <w:rPr>
          <w:rFonts w:hint="eastAsia" w:ascii="仿宋" w:hAnsi="仿宋" w:eastAsia="仿宋" w:cs="仿宋"/>
          <w:bCs/>
          <w:color w:val="auto"/>
          <w:sz w:val="24"/>
          <w:highlight w:val="none"/>
        </w:rPr>
        <w:t>4、供应商应结合本项目采购需求编制项目服务质量保障方案，包括①质量控制流程、②质量保证措施与持续改进、③技术支持服务。</w:t>
      </w:r>
    </w:p>
    <w:p w14:paraId="5E986C87">
      <w:pPr>
        <w:snapToGrid w:val="0"/>
        <w:spacing w:line="312" w:lineRule="auto"/>
        <w:ind w:firstLine="281" w:firstLineChars="100"/>
        <w:outlineLvl w:val="1"/>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（二）商务要求</w:t>
      </w:r>
    </w:p>
    <w:p w14:paraId="0A1B6AA3">
      <w:pPr>
        <w:snapToGrid w:val="0"/>
        <w:spacing w:line="312" w:lineRule="auto"/>
        <w:ind w:firstLine="482" w:firstLineChars="200"/>
        <w:rPr>
          <w:rFonts w:ascii="仿宋" w:hAnsi="仿宋" w:eastAsia="仿宋" w:cs="仿宋"/>
          <w:b/>
          <w:bCs/>
          <w:color w:val="auto"/>
          <w:kern w:val="44"/>
          <w:sz w:val="24"/>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kern w:val="44"/>
          <w:sz w:val="24"/>
          <w:highlight w:val="none"/>
        </w:rPr>
        <w:t>1、服务时间及服务地点</w:t>
      </w:r>
    </w:p>
    <w:p w14:paraId="153948D3">
      <w:pPr>
        <w:snapToGrid w:val="0"/>
        <w:spacing w:line="312" w:lineRule="auto"/>
        <w:ind w:firstLine="482" w:firstLineChars="200"/>
        <w:rPr>
          <w:rFonts w:hint="eastAsia" w:ascii="仿宋" w:hAnsi="仿宋" w:eastAsia="仿宋" w:cs="仿宋"/>
          <w:b/>
          <w:bCs/>
          <w:color w:val="auto"/>
          <w:kern w:val="44"/>
          <w:sz w:val="24"/>
          <w:highlight w:val="none"/>
        </w:rPr>
      </w:pPr>
      <w:r>
        <w:rPr>
          <w:rFonts w:hint="eastAsia" w:ascii="仿宋" w:hAnsi="仿宋" w:eastAsia="仿宋" w:cs="仿宋"/>
          <w:b/>
          <w:bCs/>
          <w:color w:val="auto"/>
          <w:kern w:val="44"/>
          <w:sz w:val="24"/>
          <w:highlight w:val="none"/>
        </w:rPr>
        <w:t>（1）服务时间：</w:t>
      </w:r>
      <w:r>
        <w:rPr>
          <w:rFonts w:hint="eastAsia" w:ascii="仿宋" w:hAnsi="仿宋" w:eastAsia="仿宋" w:cs="仿宋"/>
          <w:color w:val="auto"/>
          <w:kern w:val="44"/>
          <w:sz w:val="24"/>
          <w:highlight w:val="none"/>
        </w:rPr>
        <w:t>合同签订60天内完成。</w:t>
      </w:r>
    </w:p>
    <w:p w14:paraId="1547AB4D">
      <w:pPr>
        <w:snapToGrid w:val="0"/>
        <w:spacing w:line="312" w:lineRule="auto"/>
        <w:ind w:firstLine="482" w:firstLineChars="200"/>
        <w:rPr>
          <w:rFonts w:hint="eastAsia" w:ascii="仿宋" w:hAnsi="仿宋" w:eastAsia="仿宋" w:cs="仿宋"/>
          <w:color w:val="auto"/>
          <w:kern w:val="44"/>
          <w:sz w:val="24"/>
          <w:highlight w:val="none"/>
        </w:rPr>
      </w:pPr>
      <w:bookmarkStart w:id="1" w:name="_Toc19001"/>
      <w:bookmarkStart w:id="2" w:name="_Toc4272"/>
      <w:bookmarkStart w:id="3" w:name="_Toc8034"/>
      <w:bookmarkStart w:id="4" w:name="_Toc15573"/>
      <w:bookmarkStart w:id="5" w:name="_Toc8056"/>
      <w:bookmarkStart w:id="6" w:name="_Toc16574"/>
      <w:bookmarkStart w:id="7" w:name="_Toc25580"/>
      <w:bookmarkStart w:id="8" w:name="_Toc25498"/>
      <w:bookmarkStart w:id="9" w:name="_Toc26914"/>
      <w:bookmarkStart w:id="10" w:name="_Toc26434"/>
      <w:r>
        <w:rPr>
          <w:rFonts w:hint="eastAsia" w:ascii="仿宋" w:hAnsi="仿宋" w:eastAsia="仿宋" w:cs="仿宋"/>
          <w:b/>
          <w:color w:val="auto"/>
          <w:sz w:val="24"/>
          <w:highlight w:val="none"/>
        </w:rPr>
        <w:t>（2）</w:t>
      </w:r>
      <w:r>
        <w:rPr>
          <w:rFonts w:hint="eastAsia" w:ascii="仿宋" w:hAnsi="仿宋" w:eastAsia="仿宋" w:cs="仿宋"/>
          <w:b/>
          <w:bCs/>
          <w:color w:val="auto"/>
          <w:kern w:val="44"/>
          <w:sz w:val="24"/>
          <w:highlight w:val="none"/>
        </w:rPr>
        <w:t>服务地点：</w:t>
      </w:r>
      <w:r>
        <w:rPr>
          <w:rFonts w:hint="eastAsia" w:ascii="仿宋" w:hAnsi="仿宋" w:eastAsia="仿宋" w:cs="仿宋"/>
          <w:color w:val="auto"/>
          <w:kern w:val="44"/>
          <w:sz w:val="24"/>
          <w:highlight w:val="none"/>
        </w:rPr>
        <w:t>成都市范围内（采购人指定地点）。</w:t>
      </w:r>
    </w:p>
    <w:p w14:paraId="6F5B7D75">
      <w:pPr>
        <w:snapToGrid w:val="0"/>
        <w:spacing w:line="312"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kern w:val="0"/>
          <w:sz w:val="24"/>
          <w:highlight w:val="none"/>
        </w:rPr>
        <w:t>2、支付方式：</w:t>
      </w:r>
      <w:r>
        <w:rPr>
          <w:rFonts w:hint="eastAsia" w:ascii="仿宋" w:hAnsi="仿宋" w:eastAsia="仿宋" w:cs="仿宋"/>
          <w:color w:val="auto"/>
          <w:kern w:val="0"/>
          <w:sz w:val="24"/>
          <w:highlight w:val="none"/>
        </w:rPr>
        <w:t>分期付清。</w:t>
      </w:r>
    </w:p>
    <w:p w14:paraId="3F860FBA">
      <w:pPr>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rPr>
        <w:t>3、支付约定</w:t>
      </w:r>
      <w:r>
        <w:rPr>
          <w:rFonts w:hint="eastAsia" w:ascii="仿宋" w:hAnsi="仿宋" w:eastAsia="仿宋" w:cs="仿宋"/>
          <w:bCs/>
          <w:color w:val="auto"/>
          <w:kern w:val="0"/>
          <w:sz w:val="24"/>
          <w:highlight w:val="none"/>
        </w:rPr>
        <w:t>：采购人在签订采购合同并生效之日起30个工作日内，向成交供应商支付合同总额60%的价款(预付款)；项目通过专家验收并完成修改，项目报告报送采购人审核后30个工作日内，支付合同总额40%的价款。</w:t>
      </w:r>
    </w:p>
    <w:p w14:paraId="7A050683">
      <w:pPr>
        <w:snapToGrid w:val="0"/>
        <w:spacing w:line="312" w:lineRule="auto"/>
        <w:ind w:firstLine="482" w:firstLineChars="200"/>
        <w:rPr>
          <w:rFonts w:hint="eastAsia" w:ascii="仿宋" w:hAnsi="仿宋" w:eastAsia="仿宋" w:cs="仿宋"/>
          <w:color w:val="auto"/>
          <w:kern w:val="44"/>
          <w:sz w:val="24"/>
          <w:highlight w:val="none"/>
        </w:rPr>
      </w:pPr>
      <w:r>
        <w:rPr>
          <w:rFonts w:hint="eastAsia" w:ascii="仿宋" w:hAnsi="仿宋" w:eastAsia="仿宋" w:cs="仿宋"/>
          <w:b/>
          <w:color w:val="auto"/>
          <w:sz w:val="24"/>
          <w:highlight w:val="none"/>
        </w:rPr>
        <w:t>★4</w:t>
      </w:r>
      <w:r>
        <w:rPr>
          <w:rFonts w:hint="eastAsia" w:ascii="仿宋" w:hAnsi="仿宋" w:eastAsia="仿宋" w:cs="仿宋"/>
          <w:b/>
          <w:bCs/>
          <w:color w:val="auto"/>
          <w:kern w:val="44"/>
          <w:sz w:val="24"/>
          <w:highlight w:val="none"/>
        </w:rPr>
        <w:t>、合同价款：</w:t>
      </w:r>
      <w:r>
        <w:rPr>
          <w:rFonts w:hint="eastAsia" w:ascii="仿宋" w:hAnsi="仿宋" w:eastAsia="仿宋" w:cs="仿宋"/>
          <w:color w:val="auto"/>
          <w:kern w:val="44"/>
          <w:sz w:val="24"/>
          <w:highlight w:val="none"/>
        </w:rPr>
        <w:t>报价应是完成本项目所有采购内容和磋商文件规定的全部费用。</w:t>
      </w:r>
      <w:bookmarkStart w:id="11" w:name="_Toc32743"/>
      <w:bookmarkStart w:id="12" w:name="_Toc28829"/>
    </w:p>
    <w:p w14:paraId="58395912">
      <w:pPr>
        <w:snapToGrid w:val="0"/>
        <w:spacing w:line="312"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kern w:val="0"/>
          <w:sz w:val="24"/>
          <w:highlight w:val="none"/>
        </w:rPr>
        <w:t>5、</w:t>
      </w:r>
      <w:bookmarkEnd w:id="11"/>
      <w:bookmarkEnd w:id="12"/>
      <w:bookmarkStart w:id="13" w:name="_Toc13673"/>
      <w:bookmarkStart w:id="14" w:name="_Toc821"/>
      <w:r>
        <w:rPr>
          <w:rFonts w:hint="eastAsia" w:ascii="仿宋" w:hAnsi="仿宋" w:eastAsia="仿宋" w:cs="仿宋"/>
          <w:b/>
          <w:bCs/>
          <w:color w:val="auto"/>
          <w:kern w:val="0"/>
          <w:sz w:val="24"/>
          <w:highlight w:val="none"/>
        </w:rPr>
        <w:t>验收标准和方法：</w:t>
      </w:r>
    </w:p>
    <w:p w14:paraId="1A3200F5">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 xml:space="preserve">1）验收组织方式：采购人自行验收 </w:t>
      </w:r>
    </w:p>
    <w:p w14:paraId="544193AF">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2）是否邀请本项目的其他供应商：</w:t>
      </w:r>
      <w:r>
        <w:rPr>
          <w:rFonts w:hint="eastAsia" w:ascii="仿宋" w:hAnsi="仿宋" w:eastAsia="仿宋" w:cs="仿宋"/>
          <w:color w:val="auto"/>
          <w:sz w:val="24"/>
          <w:highlight w:val="none"/>
        </w:rPr>
        <w:t>□是  ☑否</w:t>
      </w:r>
    </w:p>
    <w:p w14:paraId="457152BC">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3）是否邀请专家：</w:t>
      </w:r>
      <w:r>
        <w:rPr>
          <w:rFonts w:hint="eastAsia" w:ascii="仿宋" w:hAnsi="仿宋" w:eastAsia="仿宋" w:cs="仿宋"/>
          <w:color w:val="auto"/>
          <w:sz w:val="24"/>
          <w:highlight w:val="none"/>
        </w:rPr>
        <w:t>☑是  □否</w:t>
      </w:r>
    </w:p>
    <w:p w14:paraId="3F1C9144">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4）是否邀请服务对象：</w:t>
      </w:r>
      <w:r>
        <w:rPr>
          <w:rFonts w:hint="eastAsia" w:ascii="仿宋" w:hAnsi="仿宋" w:eastAsia="仿宋" w:cs="仿宋"/>
          <w:color w:val="auto"/>
          <w:sz w:val="24"/>
          <w:highlight w:val="none"/>
        </w:rPr>
        <w:t>□是  ☑否</w:t>
      </w:r>
    </w:p>
    <w:p w14:paraId="2452E20E">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5）是否邀请第三方检测机构：</w:t>
      </w:r>
      <w:r>
        <w:rPr>
          <w:rFonts w:hint="eastAsia" w:ascii="仿宋" w:hAnsi="仿宋" w:eastAsia="仿宋" w:cs="仿宋"/>
          <w:color w:val="auto"/>
          <w:sz w:val="24"/>
          <w:highlight w:val="none"/>
        </w:rPr>
        <w:t>□是  ☑否</w:t>
      </w:r>
    </w:p>
    <w:p w14:paraId="10B34756">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6）履约验收程序：一次性验收</w:t>
      </w:r>
    </w:p>
    <w:p w14:paraId="28DE1553">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 xml:space="preserve">7）履约验收时间：成交人提出验收申请之日起15日内组织验收 </w:t>
      </w:r>
    </w:p>
    <w:p w14:paraId="3DA2577C">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 xml:space="preserve">8）验收组织的其他事项：无 </w:t>
      </w:r>
    </w:p>
    <w:p w14:paraId="07033D29">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 xml:space="preserve">9）技术履约验收内容：按照本项目采购文件中“技术、服务要求”及成交人响应文件进行验收。 </w:t>
      </w:r>
    </w:p>
    <w:p w14:paraId="64A1EAD8">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 xml:space="preserve">10）商务履约验收内容：按照本项目采购文件中“商务要求”及成交人响应文件进行验收。 </w:t>
      </w:r>
    </w:p>
    <w:p w14:paraId="6C343CEB">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11）履约验收标准：参照《财政部关于进一步加强政府采购需求和履约验收管理的指导意见》（财库〔2016〕205号）、《政府采购需求管理办法》（财库〔2021〕22号）的要求进行验收。</w:t>
      </w:r>
    </w:p>
    <w:p w14:paraId="557177B6">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12）履约验收其他事项：无。</w:t>
      </w:r>
    </w:p>
    <w:bookmarkEnd w:id="13"/>
    <w:bookmarkEnd w:id="14"/>
    <w:p w14:paraId="5154ADB3">
      <w:pPr>
        <w:snapToGrid w:val="0"/>
        <w:spacing w:line="312"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6、包装方式和运输</w:t>
      </w:r>
      <w:bookmarkEnd w:id="1"/>
      <w:bookmarkEnd w:id="2"/>
      <w:bookmarkEnd w:id="3"/>
    </w:p>
    <w:p w14:paraId="08E40CB3">
      <w:pPr>
        <w:snapToGrid w:val="0"/>
        <w:spacing w:line="312" w:lineRule="auto"/>
        <w:ind w:firstLine="482" w:firstLineChars="200"/>
        <w:rPr>
          <w:rFonts w:hint="eastAsia" w:ascii="仿宋" w:hAnsi="仿宋" w:eastAsia="仿宋" w:cs="仿宋"/>
          <w:color w:val="auto"/>
          <w:kern w:val="0"/>
          <w:sz w:val="24"/>
          <w:highlight w:val="none"/>
        </w:rPr>
      </w:pPr>
      <w:bookmarkStart w:id="15" w:name="_Toc31968"/>
      <w:bookmarkStart w:id="16" w:name="_Toc23217"/>
      <w:bookmarkStart w:id="17" w:name="_Toc17036"/>
      <w:bookmarkStart w:id="18" w:name="_Toc9737"/>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（1）成交人</w:t>
      </w:r>
      <w:bookmarkEnd w:id="15"/>
      <w:bookmarkEnd w:id="16"/>
      <w:bookmarkEnd w:id="17"/>
      <w:bookmarkEnd w:id="18"/>
      <w:r>
        <w:rPr>
          <w:rFonts w:hint="eastAsia" w:ascii="仿宋" w:hAnsi="仿宋" w:eastAsia="仿宋" w:cs="仿宋"/>
          <w:color w:val="auto"/>
          <w:kern w:val="0"/>
          <w:sz w:val="24"/>
          <w:highlight w:val="none"/>
        </w:rPr>
        <w:t>应符合《商品包装政府采购需求标准（试行）》、《快递包装政府采购需求标准（试行）》（财办库〔2020〕123号）的要求进行产品及相关快递服务的包装。</w:t>
      </w:r>
    </w:p>
    <w:p w14:paraId="54942EEF">
      <w:pPr>
        <w:snapToGrid w:val="0"/>
        <w:spacing w:line="312" w:lineRule="auto"/>
        <w:ind w:firstLine="482" w:firstLineChars="200"/>
        <w:rPr>
          <w:rFonts w:hint="eastAsia" w:ascii="仿宋" w:hAnsi="仿宋" w:eastAsia="仿宋" w:cs="仿宋"/>
          <w:b/>
          <w:color w:val="auto"/>
          <w:sz w:val="24"/>
          <w:highlight w:val="none"/>
        </w:rPr>
      </w:pPr>
      <w:bookmarkStart w:id="19" w:name="_Toc30165"/>
      <w:bookmarkStart w:id="20" w:name="_Toc29648"/>
      <w:bookmarkStart w:id="21" w:name="_Toc1436"/>
      <w:r>
        <w:rPr>
          <w:rFonts w:hint="eastAsia" w:ascii="仿宋" w:hAnsi="仿宋" w:eastAsia="仿宋" w:cs="仿宋"/>
          <w:b/>
          <w:color w:val="auto"/>
          <w:sz w:val="24"/>
          <w:highlight w:val="none"/>
        </w:rPr>
        <w:t>7、保险</w:t>
      </w:r>
      <w:bookmarkEnd w:id="4"/>
      <w:bookmarkEnd w:id="5"/>
      <w:bookmarkEnd w:id="6"/>
      <w:bookmarkEnd w:id="7"/>
      <w:bookmarkEnd w:id="8"/>
      <w:bookmarkEnd w:id="9"/>
      <w:bookmarkEnd w:id="10"/>
      <w:bookmarkEnd w:id="19"/>
      <w:bookmarkEnd w:id="20"/>
      <w:bookmarkEnd w:id="21"/>
    </w:p>
    <w:p w14:paraId="7F01A3ED">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w:t>
      </w:r>
    </w:p>
    <w:p w14:paraId="6A70B82B">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供应商为本项目提供履约的所有人员应依照《中华人民共和国劳动合同法》订立劳动合同，如有退休人员或其他依法不能签订劳动合同的人员应签订劳务合同，并为上述人员购买意外保险，涉及第三者责任的还应当为其购买第三者责任险。</w:t>
      </w:r>
    </w:p>
    <w:p w14:paraId="4A4047CB">
      <w:pPr>
        <w:pStyle w:val="5"/>
        <w:snapToGrid w:val="0"/>
        <w:spacing w:line="312" w:lineRule="auto"/>
        <w:ind w:firstLine="482" w:firstLineChars="200"/>
        <w:rPr>
          <w:rFonts w:hint="eastAsia" w:ascii="仿宋" w:hAnsi="仿宋" w:eastAsia="仿宋" w:cs="仿宋"/>
          <w:color w:val="auto"/>
          <w:sz w:val="24"/>
          <w:szCs w:val="24"/>
          <w:highlight w:val="none"/>
        </w:rPr>
      </w:pPr>
      <w:bookmarkStart w:id="22" w:name="_Toc12073"/>
      <w:bookmarkStart w:id="23" w:name="_Toc32726"/>
      <w:bookmarkStart w:id="24" w:name="_Toc20781"/>
      <w:bookmarkStart w:id="25" w:name="_Toc13362"/>
      <w:bookmarkStart w:id="26" w:name="_Toc2218"/>
      <w:bookmarkStart w:id="27" w:name="_Toc27313"/>
      <w:bookmarkStart w:id="28" w:name="_Toc14109"/>
      <w:bookmarkStart w:id="29" w:name="_Toc11570"/>
      <w:bookmarkStart w:id="30" w:name="_Toc32286_WPSOffice_Level2"/>
      <w:bookmarkStart w:id="31" w:name="_Toc14685"/>
      <w:bookmarkStart w:id="32" w:name="_Toc13746"/>
      <w:bookmarkStart w:id="33" w:name="_Toc22026"/>
      <w:bookmarkStart w:id="34" w:name="_Toc8092"/>
      <w:r>
        <w:rPr>
          <w:rFonts w:hint="eastAsia" w:ascii="仿宋" w:hAnsi="仿宋" w:eastAsia="仿宋" w:cs="仿宋"/>
          <w:b/>
          <w:color w:val="auto"/>
          <w:sz w:val="24"/>
          <w:highlight w:val="none"/>
        </w:rPr>
        <w:t>★8、知识产权归属和处理方式：</w:t>
      </w:r>
      <w:r>
        <w:rPr>
          <w:rFonts w:hint="eastAsia" w:ascii="仿宋" w:hAnsi="仿宋" w:eastAsia="仿宋" w:cs="仿宋"/>
          <w:color w:val="auto"/>
          <w:sz w:val="24"/>
          <w:szCs w:val="24"/>
          <w:highlight w:val="none"/>
        </w:rPr>
        <w:t>采购人享有本项目实施过程中产生的知识成果及知识产权。</w:t>
      </w:r>
    </w:p>
    <w:p w14:paraId="6255A620">
      <w:pPr>
        <w:snapToGrid w:val="0"/>
        <w:spacing w:line="312" w:lineRule="auto"/>
        <w:ind w:left="479" w:leftChars="228"/>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9、违约责任与解决争议的办法</w:t>
      </w:r>
    </w:p>
    <w:p w14:paraId="7A5D2B67">
      <w:pPr>
        <w:snapToGrid w:val="0"/>
        <w:spacing w:line="312" w:lineRule="auto"/>
        <w:ind w:left="479" w:leftChars="228"/>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（1）违约责任</w:t>
      </w:r>
    </w:p>
    <w:p w14:paraId="41546C6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1）双方必须遵守采购合同并执行采购合同中的各项规定，保证采购合同的正常履行。</w:t>
      </w:r>
    </w:p>
    <w:p w14:paraId="7C8417D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14:paraId="452BB32C">
      <w:pPr>
        <w:pStyle w:val="10"/>
        <w:snapToGrid w:val="0"/>
        <w:spacing w:line="312" w:lineRule="auto"/>
        <w:ind w:firstLine="482" w:firstLineChars="200"/>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（2）</w:t>
      </w:r>
      <w:r>
        <w:rPr>
          <w:rFonts w:hint="eastAsia" w:ascii="仿宋" w:hAnsi="仿宋" w:eastAsia="仿宋" w:cs="仿宋"/>
          <w:b/>
          <w:color w:val="auto"/>
          <w:highlight w:val="none"/>
        </w:rPr>
        <w:t>解决争议的办法</w:t>
      </w:r>
    </w:p>
    <w:p w14:paraId="7D5C4264">
      <w:pPr>
        <w:pStyle w:val="10"/>
        <w:snapToGrid w:val="0"/>
        <w:spacing w:line="312"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合同履行期间,若双方发生争议，可协商或由有关部门调解解决，协商或调解不成的，由当事人依法向采购人所在地有管辖权的法院提起诉讼维护其合法权益。</w:t>
      </w:r>
    </w:p>
    <w:p w14:paraId="656F0955">
      <w:pPr>
        <w:snapToGrid w:val="0"/>
        <w:spacing w:line="312"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10、其他要求</w:t>
      </w:r>
      <w:bookmarkEnd w:id="22"/>
      <w:bookmarkEnd w:id="23"/>
      <w:bookmarkEnd w:id="24"/>
      <w:bookmarkEnd w:id="25"/>
      <w:bookmarkEnd w:id="26"/>
      <w:bookmarkEnd w:id="27"/>
      <w:bookmarkEnd w:id="28"/>
      <w:bookmarkEnd w:id="29"/>
      <w:bookmarkEnd w:id="30"/>
      <w:bookmarkEnd w:id="31"/>
      <w:bookmarkEnd w:id="32"/>
      <w:bookmarkEnd w:id="33"/>
      <w:bookmarkEnd w:id="34"/>
    </w:p>
    <w:p w14:paraId="34E2BE1C">
      <w:pPr>
        <w:pStyle w:val="11"/>
        <w:tabs>
          <w:tab w:val="left" w:pos="0"/>
          <w:tab w:val="left" w:pos="1134"/>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（1）供应商应建立良好的项目实施质量管理、职业健康安全管理以及环境管理体系，保障项目实施质量以及相关人员健康安全和实施环境安全。</w:t>
      </w:r>
    </w:p>
    <w:p w14:paraId="501F430B">
      <w:pPr>
        <w:pStyle w:val="12"/>
        <w:widowControl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供应商应为本项目配备项目实施相关人员，</w:t>
      </w:r>
      <w:r>
        <w:rPr>
          <w:rFonts w:hint="eastAsia" w:ascii="仿宋" w:hAnsi="仿宋" w:eastAsia="仿宋" w:cs="仿宋"/>
          <w:color w:val="auto"/>
          <w:sz w:val="24"/>
          <w:szCs w:val="24"/>
          <w:highlight w:val="none"/>
        </w:rPr>
        <w:t>采购人在项目执行过程中定期核对供应商提供完成项目所配备的人员数量及相关信息，对于未按照磋商文件及响应文件相关内容执行或存在不合理的部分有权下达整改通知书，并要求供应商限期整改，并根据合同约定的违约情况进行处理。</w:t>
      </w:r>
    </w:p>
    <w:p w14:paraId="04F11E86">
      <w:pPr>
        <w:pStyle w:val="12"/>
        <w:widowControl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（3）供应商在项目执行过程中定期及时向采购人通告本项目的重大事项及其进度。</w:t>
      </w:r>
    </w:p>
    <w:p w14:paraId="2E8EC3C6">
      <w:pPr>
        <w:pStyle w:val="4"/>
        <w:snapToGrid w:val="0"/>
        <w:spacing w:after="0"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（4）接受项目行业管理部门及政府有关部门的指导，接受采购人的监督。</w:t>
      </w:r>
    </w:p>
    <w:bookmarkEnd w:id="0"/>
    <w:p w14:paraId="2EB1853B"/>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C1DA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5A610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25A610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33342"/>
    <w:rsid w:val="38F33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宋体"/>
      <w:szCs w:val="24"/>
    </w:rPr>
  </w:style>
  <w:style w:type="paragraph" w:styleId="4">
    <w:name w:val="Body Text"/>
    <w:basedOn w:val="1"/>
    <w:qFormat/>
    <w:uiPriority w:val="0"/>
    <w:pPr>
      <w:spacing w:after="120"/>
    </w:pPr>
    <w:rPr>
      <w:rFonts w:ascii="Times New Roman" w:hAnsi="Times New Roman" w:eastAsia="宋体" w:cs="Times New Roman"/>
      <w:szCs w:val="24"/>
    </w:rPr>
  </w:style>
  <w:style w:type="paragraph" w:styleId="5">
    <w:name w:val="Body Text Indent"/>
    <w:basedOn w:val="1"/>
    <w:qFormat/>
    <w:uiPriority w:val="0"/>
    <w:pPr>
      <w:ind w:firstLine="630"/>
    </w:pPr>
    <w:rPr>
      <w:rFonts w:eastAsia="宋体"/>
      <w:sz w:val="32"/>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绿盟科技）"/>
    <w:next w:val="1"/>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2025-10-11T06:33:00Z</dcterms:created>
  <dc:creator>admin</dc:creator>
  <cp:lastModifiedBy>admin</cp:lastModifiedBy>
  <dcterms:modified xsi:type="dcterms:W3CDTF">2025-10-11T06:33:47Z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19F2A6B991BC4C389D1CCB9CC8AA4976_11</vt:lpwstr>
  </property>
  <property fmtid="{D5CDD505-2E9C-101B-9397-08002B2CF9AE}" pid="4" name="KSOTemplateDocerSaveRecord">
    <vt:lpwstr>eyJoZGlkIjoiMjNiNGJiYWRkMGJmMTdjZTEzY2Y3OTgwMDZjMGI0MTEiLCJ1c2VySWQiOiIzOTA3OTIwODQifQ==</vt:lpwstr>
  </property>
</Properties>
</file>