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F0E39">
      <w:pPr>
        <w:pStyle w:val="2"/>
        <w:pageBreakBefore/>
        <w:snapToGrid w:val="0"/>
        <w:spacing w:before="0" w:after="0" w:line="312" w:lineRule="auto"/>
        <w:jc w:val="center"/>
        <w:rPr>
          <w:rFonts w:hint="eastAsia" w:ascii="仿宋" w:hAnsi="仿宋" w:eastAsia="仿宋" w:cs="仿宋"/>
          <w:color w:val="auto"/>
          <w:sz w:val="28"/>
          <w:szCs w:val="28"/>
          <w:highlight w:val="none"/>
        </w:rPr>
      </w:pPr>
      <w:bookmarkStart w:id="0" w:name="_Toc13427"/>
      <w:r>
        <w:rPr>
          <w:rFonts w:hint="eastAsia" w:ascii="仿宋" w:hAnsi="仿宋" w:eastAsia="仿宋" w:cs="仿宋"/>
          <w:color w:val="auto"/>
          <w:sz w:val="36"/>
          <w:szCs w:val="36"/>
          <w:highlight w:val="none"/>
        </w:rPr>
        <w:t xml:space="preserve">  采购项目技术、服务、商务及其他要求</w:t>
      </w:r>
      <w:bookmarkEnd w:id="0"/>
      <w:bookmarkStart w:id="1" w:name="_Hlk45530010"/>
    </w:p>
    <w:p w14:paraId="3FA43028">
      <w:pPr>
        <w:snapToGrid w:val="0"/>
        <w:spacing w:line="312" w:lineRule="auto"/>
        <w:ind w:firstLine="241" w:firstLineChars="100"/>
        <w:outlineLvl w:val="1"/>
        <w:rPr>
          <w:rFonts w:hint="eastAsia" w:ascii="仿宋" w:hAnsi="仿宋" w:eastAsia="仿宋" w:cs="仿宋"/>
          <w:b/>
          <w:color w:val="auto"/>
          <w:sz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r>
        <w:rPr>
          <w:rFonts w:hint="eastAsia" w:ascii="仿宋" w:hAnsi="仿宋" w:eastAsia="仿宋" w:cs="仿宋"/>
          <w:b/>
          <w:color w:val="auto"/>
          <w:sz w:val="28"/>
          <w:szCs w:val="28"/>
          <w:highlight w:val="none"/>
        </w:rPr>
        <w:br w:type="textWrapping"/>
      </w:r>
      <w:r>
        <w:rPr>
          <w:rFonts w:hint="eastAsia" w:ascii="仿宋" w:hAnsi="仿宋" w:eastAsia="仿宋" w:cs="仿宋"/>
          <w:b/>
          <w:bCs/>
          <w:color w:val="auto"/>
          <w:kern w:val="44"/>
          <w:sz w:val="28"/>
          <w:szCs w:val="28"/>
          <w:highlight w:val="none"/>
        </w:rPr>
        <w:t>一、项目概况</w:t>
      </w:r>
    </w:p>
    <w:p w14:paraId="45B43A81">
      <w:pPr>
        <w:snapToGrid w:val="0"/>
        <w:spacing w:line="312" w:lineRule="auto"/>
        <w:ind w:firstLine="281" w:firstLineChars="1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7A3775C0">
      <w:pPr>
        <w:snapToGrid w:val="0"/>
        <w:spacing w:line="312" w:lineRule="auto"/>
        <w:ind w:firstLine="480" w:firstLineChars="200"/>
        <w:rPr>
          <w:rFonts w:hint="eastAsia" w:ascii="仿宋" w:hAnsi="仿宋" w:eastAsia="仿宋" w:cs="仿宋"/>
          <w:color w:val="auto"/>
          <w:kern w:val="44"/>
          <w:sz w:val="24"/>
          <w:highlight w:val="none"/>
        </w:rPr>
      </w:pPr>
      <w:bookmarkStart w:id="43" w:name="_GoBack"/>
      <w:r>
        <w:rPr>
          <w:rFonts w:hint="eastAsia" w:ascii="仿宋" w:hAnsi="仿宋" w:eastAsia="仿宋" w:cs="仿宋"/>
          <w:color w:val="auto"/>
          <w:kern w:val="44"/>
          <w:sz w:val="24"/>
          <w:highlight w:val="none"/>
        </w:rPr>
        <w:t>国家重点研发计划课题数据库建设项目</w:t>
      </w:r>
      <w:bookmarkEnd w:id="43"/>
      <w:r>
        <w:rPr>
          <w:rFonts w:hint="eastAsia" w:ascii="仿宋" w:hAnsi="仿宋" w:eastAsia="仿宋" w:cs="仿宋"/>
          <w:color w:val="auto"/>
          <w:kern w:val="44"/>
          <w:sz w:val="24"/>
          <w:highlight w:val="none"/>
        </w:rPr>
        <w:t>，本次采购共分1个包。</w:t>
      </w:r>
    </w:p>
    <w:p w14:paraId="631BFEA3">
      <w:pPr>
        <w:snapToGrid w:val="0"/>
        <w:spacing w:line="312" w:lineRule="auto"/>
        <w:ind w:firstLine="281" w:firstLineChars="1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（二）标的名称及所属行业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974"/>
        <w:gridCol w:w="2779"/>
      </w:tblGrid>
      <w:tr w14:paraId="0A4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86" w:type="dxa"/>
            <w:noWrap w:val="0"/>
            <w:vAlign w:val="center"/>
          </w:tcPr>
          <w:p w14:paraId="7D62E066">
            <w:pPr>
              <w:pStyle w:val="3"/>
              <w:snapToGrid w:val="0"/>
              <w:spacing w:line="312"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215" w:type="dxa"/>
            <w:noWrap w:val="0"/>
            <w:vAlign w:val="center"/>
          </w:tcPr>
          <w:p w14:paraId="64412A05">
            <w:pPr>
              <w:pStyle w:val="3"/>
              <w:snapToGrid w:val="0"/>
              <w:spacing w:line="312"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标的名称</w:t>
            </w:r>
          </w:p>
        </w:tc>
        <w:tc>
          <w:tcPr>
            <w:tcW w:w="2903" w:type="dxa"/>
            <w:noWrap w:val="0"/>
            <w:vAlign w:val="center"/>
          </w:tcPr>
          <w:p w14:paraId="116380D2">
            <w:pPr>
              <w:pStyle w:val="3"/>
              <w:snapToGrid w:val="0"/>
              <w:spacing w:line="312" w:lineRule="auto"/>
              <w:ind w:firstLine="0" w:firstLineChars="0"/>
              <w:jc w:val="center"/>
              <w:rPr>
                <w:rFonts w:hint="eastAsia" w:ascii="仿宋" w:hAnsi="仿宋" w:eastAsia="仿宋" w:cs="仿宋"/>
                <w:color w:val="auto"/>
                <w:kern w:val="44"/>
                <w:sz w:val="24"/>
                <w:highlight w:val="none"/>
              </w:rPr>
            </w:pPr>
            <w:r>
              <w:rPr>
                <w:rFonts w:hint="eastAsia" w:ascii="仿宋" w:hAnsi="仿宋" w:eastAsia="仿宋" w:cs="仿宋"/>
                <w:b/>
                <w:color w:val="auto"/>
                <w:sz w:val="24"/>
                <w:highlight w:val="none"/>
              </w:rPr>
              <w:t>所属行业</w:t>
            </w:r>
          </w:p>
        </w:tc>
      </w:tr>
      <w:tr w14:paraId="6649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86" w:type="dxa"/>
            <w:noWrap w:val="0"/>
            <w:vAlign w:val="center"/>
          </w:tcPr>
          <w:p w14:paraId="3DA81B08">
            <w:pPr>
              <w:pStyle w:val="3"/>
              <w:snapToGrid w:val="0"/>
              <w:spacing w:line="312" w:lineRule="auto"/>
              <w:ind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215" w:type="dxa"/>
            <w:noWrap w:val="0"/>
            <w:vAlign w:val="center"/>
          </w:tcPr>
          <w:p w14:paraId="23DB1AA1">
            <w:pPr>
              <w:pStyle w:val="3"/>
              <w:snapToGrid w:val="0"/>
              <w:spacing w:line="312" w:lineRule="auto"/>
              <w:ind w:firstLine="0" w:firstLineChars="0"/>
              <w:jc w:val="center"/>
              <w:rPr>
                <w:rFonts w:ascii="仿宋" w:hAnsi="仿宋" w:eastAsia="仿宋" w:cs="仿宋"/>
                <w:bCs/>
                <w:color w:val="auto"/>
                <w:sz w:val="24"/>
                <w:highlight w:val="none"/>
              </w:rPr>
            </w:pPr>
            <w:r>
              <w:rPr>
                <w:rFonts w:hint="eastAsia" w:ascii="仿宋" w:hAnsi="仿宋" w:eastAsia="仿宋" w:cs="仿宋"/>
                <w:color w:val="auto"/>
                <w:kern w:val="44"/>
                <w:sz w:val="24"/>
                <w:highlight w:val="none"/>
              </w:rPr>
              <w:t>国家重点研发计划课题数据库建设服务</w:t>
            </w:r>
          </w:p>
        </w:tc>
        <w:tc>
          <w:tcPr>
            <w:tcW w:w="2903" w:type="dxa"/>
            <w:noWrap w:val="0"/>
            <w:vAlign w:val="center"/>
          </w:tcPr>
          <w:p w14:paraId="46061892">
            <w:pPr>
              <w:pStyle w:val="3"/>
              <w:snapToGrid w:val="0"/>
              <w:spacing w:line="312" w:lineRule="auto"/>
              <w:ind w:firstLine="0" w:firstLineChars="0"/>
              <w:jc w:val="center"/>
              <w:rPr>
                <w:rFonts w:ascii="仿宋" w:hAnsi="仿宋" w:eastAsia="仿宋" w:cs="仿宋"/>
                <w:color w:val="auto"/>
                <w:kern w:val="44"/>
                <w:sz w:val="24"/>
                <w:highlight w:val="none"/>
              </w:rPr>
            </w:pPr>
            <w:r>
              <w:rPr>
                <w:rFonts w:hint="eastAsia" w:ascii="仿宋" w:hAnsi="仿宋" w:eastAsia="仿宋" w:cs="仿宋"/>
                <w:color w:val="auto"/>
                <w:kern w:val="44"/>
                <w:sz w:val="24"/>
                <w:highlight w:val="none"/>
              </w:rPr>
              <w:t>软件和信息技术服务业</w:t>
            </w:r>
          </w:p>
        </w:tc>
      </w:tr>
    </w:tbl>
    <w:p w14:paraId="7BBA7DE8">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注：1、上表中“所属行业”系指“《工业和信息化部、国家统计局、国家发展和改革委员会、财政部关于印发中小企业划型标准规定的通知》（工信部联企业〔2011〕300号文件）、《统计上大中小微型企业划分办法（2017）》附表：统计上大中小微型企业划分标准”规定的中小企业划型标准所属行业。</w:t>
      </w:r>
    </w:p>
    <w:p w14:paraId="1D4C1EA7">
      <w:pPr>
        <w:snapToGrid w:val="0"/>
        <w:spacing w:line="312" w:lineRule="auto"/>
        <w:ind w:firstLine="482" w:firstLineChars="200"/>
        <w:rPr>
          <w:rFonts w:ascii="仿宋" w:hAnsi="仿宋" w:eastAsia="仿宋" w:cs="仿宋"/>
          <w:b/>
          <w:bCs/>
          <w:color w:val="auto"/>
          <w:kern w:val="0"/>
          <w:sz w:val="24"/>
          <w:szCs w:val="24"/>
          <w:highlight w:val="none"/>
        </w:rPr>
      </w:pPr>
      <w:r>
        <w:rPr>
          <w:rFonts w:hint="eastAsia" w:ascii="仿宋" w:hAnsi="仿宋" w:eastAsia="仿宋" w:cs="仿宋"/>
          <w:b/>
          <w:bCs/>
          <w:color w:val="auto"/>
          <w:kern w:val="44"/>
          <w:sz w:val="24"/>
          <w:highlight w:val="none"/>
        </w:rPr>
        <w:t>2、供应商应按照上表所列标的名称、所属行业填写《中小企业声明函》</w:t>
      </w:r>
      <w:r>
        <w:rPr>
          <w:rFonts w:hint="eastAsia" w:ascii="仿宋" w:hAnsi="仿宋" w:eastAsia="仿宋" w:cs="仿宋"/>
          <w:b/>
          <w:bCs/>
          <w:color w:val="auto"/>
          <w:kern w:val="0"/>
          <w:sz w:val="24"/>
          <w:szCs w:val="24"/>
          <w:highlight w:val="none"/>
        </w:rPr>
        <w:t>。</w:t>
      </w:r>
    </w:p>
    <w:p w14:paraId="2BC3BD29">
      <w:pPr>
        <w:pStyle w:val="4"/>
        <w:rPr>
          <w:rFonts w:hint="eastAsia"/>
          <w:color w:val="auto"/>
          <w:highlight w:val="none"/>
        </w:rPr>
      </w:pPr>
    </w:p>
    <w:p w14:paraId="35779141">
      <w:pPr>
        <w:snapToGrid w:val="0"/>
        <w:spacing w:line="312" w:lineRule="auto"/>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二、技术、服务要求</w:t>
      </w:r>
    </w:p>
    <w:p w14:paraId="0C46B2BB">
      <w:pPr>
        <w:snapToGrid w:val="0"/>
        <w:spacing w:line="312" w:lineRule="auto"/>
        <w:ind w:firstLine="482" w:firstLineChars="200"/>
        <w:outlineLvl w:val="1"/>
        <w:rPr>
          <w:rFonts w:hint="eastAsia" w:ascii="仿宋" w:hAnsi="仿宋" w:eastAsia="仿宋" w:cs="仿宋"/>
          <w:b/>
          <w:bCs/>
          <w:color w:val="auto"/>
          <w:kern w:val="44"/>
          <w:sz w:val="28"/>
          <w:szCs w:val="28"/>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44"/>
          <w:sz w:val="28"/>
          <w:szCs w:val="28"/>
          <w:highlight w:val="none"/>
        </w:rPr>
        <w:t>（一）服务内容及要求</w:t>
      </w:r>
    </w:p>
    <w:p w14:paraId="75CF7532">
      <w:pPr>
        <w:pStyle w:val="8"/>
        <w:spacing w:line="312" w:lineRule="auto"/>
        <w:ind w:firstLine="480"/>
        <w:rPr>
          <w:rFonts w:hint="eastAsia" w:ascii="仿宋" w:hAnsi="仿宋" w:eastAsia="仿宋" w:cs="仿宋"/>
          <w:color w:val="auto"/>
          <w:sz w:val="24"/>
          <w:szCs w:val="24"/>
          <w:highlight w:val="none"/>
        </w:rPr>
      </w:pPr>
      <w:bookmarkStart w:id="2" w:name="_Hlk196751625"/>
      <w:r>
        <w:rPr>
          <w:rFonts w:hint="eastAsia" w:ascii="仿宋" w:hAnsi="仿宋" w:eastAsia="仿宋" w:cs="仿宋"/>
          <w:color w:val="auto"/>
          <w:sz w:val="24"/>
          <w:szCs w:val="24"/>
          <w:highlight w:val="none"/>
        </w:rPr>
        <w:t>1、开发</w:t>
      </w:r>
      <w:bookmarkStart w:id="3" w:name="_Hlk196751571"/>
      <w:r>
        <w:rPr>
          <w:rFonts w:hint="eastAsia" w:ascii="仿宋" w:hAnsi="仿宋" w:eastAsia="仿宋" w:cs="仿宋"/>
          <w:color w:val="auto"/>
          <w:sz w:val="24"/>
          <w:szCs w:val="24"/>
          <w:highlight w:val="none"/>
        </w:rPr>
        <w:t>关键气象因子解析</w:t>
      </w:r>
      <w:bookmarkEnd w:id="3"/>
      <w:r>
        <w:rPr>
          <w:rFonts w:hint="eastAsia" w:ascii="仿宋" w:hAnsi="仿宋" w:eastAsia="仿宋" w:cs="仿宋"/>
          <w:color w:val="auto"/>
          <w:sz w:val="24"/>
          <w:szCs w:val="24"/>
          <w:highlight w:val="none"/>
        </w:rPr>
        <w:t>功能，至少包括气象五参数、激光雷达、通风系数等数据的统计、计算、展示；</w:t>
      </w:r>
    </w:p>
    <w:p w14:paraId="1EAEA6C0">
      <w:pPr>
        <w:pStyle w:val="8"/>
        <w:spacing w:line="312"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2、开发</w:t>
      </w:r>
      <w:bookmarkStart w:id="4" w:name="_Hlk196751576"/>
      <w:r>
        <w:rPr>
          <w:rFonts w:hint="eastAsia" w:ascii="仿宋" w:hAnsi="仿宋" w:eastAsia="仿宋" w:cs="仿宋"/>
          <w:color w:val="auto"/>
          <w:sz w:val="24"/>
          <w:szCs w:val="24"/>
          <w:highlight w:val="none"/>
        </w:rPr>
        <w:t>二次污染物与前体物解析</w:t>
      </w:r>
      <w:bookmarkEnd w:id="4"/>
      <w:r>
        <w:rPr>
          <w:rFonts w:hint="eastAsia" w:ascii="仿宋" w:hAnsi="仿宋" w:eastAsia="仿宋" w:cs="仿宋"/>
          <w:color w:val="auto"/>
          <w:sz w:val="24"/>
          <w:szCs w:val="24"/>
          <w:highlight w:val="none"/>
        </w:rPr>
        <w:t>功能；</w:t>
      </w:r>
    </w:p>
    <w:p w14:paraId="22A97EB1">
      <w:pPr>
        <w:pStyle w:val="8"/>
        <w:spacing w:line="312"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3、开发</w:t>
      </w:r>
      <w:bookmarkStart w:id="5" w:name="_Hlk196751580"/>
      <w:r>
        <w:rPr>
          <w:rFonts w:hint="eastAsia" w:ascii="仿宋" w:hAnsi="仿宋" w:eastAsia="仿宋" w:cs="仿宋"/>
          <w:color w:val="auto"/>
          <w:sz w:val="24"/>
          <w:szCs w:val="24"/>
          <w:highlight w:val="none"/>
        </w:rPr>
        <w:t>传输贡献量化矩阵</w:t>
      </w:r>
      <w:bookmarkEnd w:id="5"/>
      <w:r>
        <w:rPr>
          <w:rFonts w:hint="eastAsia" w:ascii="仿宋" w:hAnsi="仿宋" w:eastAsia="仿宋" w:cs="仿宋"/>
          <w:color w:val="auto"/>
          <w:sz w:val="24"/>
          <w:szCs w:val="24"/>
          <w:highlight w:val="none"/>
        </w:rPr>
        <w:t>功能，实现城市二次污染局地生成与区域传输贡献结果的界面化展示；</w:t>
      </w:r>
    </w:p>
    <w:p w14:paraId="252DC4E3">
      <w:pPr>
        <w:pStyle w:val="8"/>
        <w:spacing w:line="312"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4、开发</w:t>
      </w:r>
      <w:bookmarkStart w:id="6" w:name="_Hlk196751587"/>
      <w:r>
        <w:rPr>
          <w:rFonts w:hint="eastAsia" w:ascii="仿宋" w:hAnsi="仿宋" w:eastAsia="仿宋" w:cs="仿宋"/>
          <w:color w:val="auto"/>
          <w:sz w:val="24"/>
          <w:szCs w:val="24"/>
          <w:highlight w:val="none"/>
        </w:rPr>
        <w:t>重污染评估</w:t>
      </w:r>
      <w:bookmarkEnd w:id="6"/>
      <w:r>
        <w:rPr>
          <w:rFonts w:hint="eastAsia" w:ascii="仿宋" w:hAnsi="仿宋" w:eastAsia="仿宋" w:cs="仿宋"/>
          <w:color w:val="auto"/>
          <w:sz w:val="24"/>
          <w:szCs w:val="24"/>
          <w:highlight w:val="none"/>
        </w:rPr>
        <w:t>功能，至少包括重污染过程观测指标数据对比、污染源数据比对；</w:t>
      </w:r>
    </w:p>
    <w:p w14:paraId="40B37A70">
      <w:pPr>
        <w:pStyle w:val="8"/>
        <w:spacing w:line="312"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5、开发</w:t>
      </w:r>
      <w:bookmarkStart w:id="7" w:name="_Hlk196751592"/>
      <w:r>
        <w:rPr>
          <w:rFonts w:hint="eastAsia" w:ascii="仿宋" w:hAnsi="仿宋" w:eastAsia="仿宋" w:cs="仿宋"/>
          <w:color w:val="auto"/>
          <w:sz w:val="24"/>
          <w:szCs w:val="24"/>
          <w:highlight w:val="none"/>
        </w:rPr>
        <w:t>特征雷达图</w:t>
      </w:r>
      <w:bookmarkEnd w:id="7"/>
      <w:r>
        <w:rPr>
          <w:rFonts w:hint="eastAsia" w:ascii="仿宋" w:hAnsi="仿宋" w:eastAsia="仿宋" w:cs="仿宋"/>
          <w:color w:val="auto"/>
          <w:sz w:val="24"/>
          <w:szCs w:val="24"/>
          <w:highlight w:val="none"/>
        </w:rPr>
        <w:t>功能，主要为结果的计算和展示；</w:t>
      </w:r>
    </w:p>
    <w:p w14:paraId="047AF2EA">
      <w:pPr>
        <w:pStyle w:val="8"/>
        <w:spacing w:line="312"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6、开发</w:t>
      </w:r>
      <w:bookmarkStart w:id="8" w:name="_Hlk196751596"/>
      <w:r>
        <w:rPr>
          <w:rFonts w:hint="eastAsia" w:ascii="仿宋" w:hAnsi="仿宋" w:eastAsia="仿宋" w:cs="仿宋"/>
          <w:color w:val="auto"/>
          <w:sz w:val="24"/>
          <w:szCs w:val="24"/>
          <w:highlight w:val="none"/>
        </w:rPr>
        <w:t>污染玫瑰图</w:t>
      </w:r>
      <w:bookmarkEnd w:id="8"/>
      <w:r>
        <w:rPr>
          <w:rFonts w:hint="eastAsia" w:ascii="仿宋" w:hAnsi="仿宋" w:eastAsia="仿宋" w:cs="仿宋"/>
          <w:color w:val="auto"/>
          <w:sz w:val="24"/>
          <w:szCs w:val="24"/>
          <w:highlight w:val="none"/>
        </w:rPr>
        <w:t>功能，主要为结果的计算和展示。</w:t>
      </w:r>
    </w:p>
    <w:p w14:paraId="359786AF">
      <w:pPr>
        <w:pStyle w:val="8"/>
        <w:spacing w:line="312"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7、开发配套以上功能的数据录入、管理功能。</w:t>
      </w:r>
    </w:p>
    <w:bookmarkEnd w:id="2"/>
    <w:p w14:paraId="05A43E8B">
      <w:pPr>
        <w:snapToGrid w:val="0"/>
        <w:spacing w:line="312" w:lineRule="auto"/>
        <w:ind w:firstLine="281" w:firstLineChars="100"/>
        <w:outlineLvl w:val="1"/>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（二）商务要求</w:t>
      </w:r>
    </w:p>
    <w:p w14:paraId="5F674F44">
      <w:pPr>
        <w:snapToGrid w:val="0"/>
        <w:spacing w:line="312" w:lineRule="auto"/>
        <w:ind w:firstLine="482" w:firstLineChars="200"/>
        <w:rPr>
          <w:rFonts w:ascii="仿宋" w:hAnsi="仿宋" w:eastAsia="仿宋" w:cs="仿宋"/>
          <w:b/>
          <w:bCs/>
          <w:color w:val="auto"/>
          <w:kern w:val="44"/>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44"/>
          <w:sz w:val="24"/>
          <w:highlight w:val="none"/>
        </w:rPr>
        <w:t>1、服务时间及服务地点</w:t>
      </w:r>
    </w:p>
    <w:p w14:paraId="039BB069">
      <w:pPr>
        <w:snapToGrid w:val="0"/>
        <w:spacing w:line="312" w:lineRule="auto"/>
        <w:ind w:firstLine="482" w:firstLineChars="200"/>
        <w:rPr>
          <w:rFonts w:hint="eastAsia" w:ascii="仿宋" w:hAnsi="仿宋" w:eastAsia="仿宋" w:cs="仿宋"/>
          <w:color w:val="auto"/>
          <w:kern w:val="44"/>
          <w:sz w:val="24"/>
          <w:highlight w:val="none"/>
        </w:rPr>
      </w:pPr>
      <w:r>
        <w:rPr>
          <w:rFonts w:hint="eastAsia" w:ascii="仿宋" w:hAnsi="仿宋" w:eastAsia="仿宋" w:cs="仿宋"/>
          <w:b/>
          <w:bCs/>
          <w:color w:val="auto"/>
          <w:kern w:val="44"/>
          <w:sz w:val="24"/>
          <w:highlight w:val="none"/>
        </w:rPr>
        <w:t>（1）服务时间：</w:t>
      </w:r>
      <w:r>
        <w:rPr>
          <w:rFonts w:hint="eastAsia" w:ascii="仿宋" w:hAnsi="仿宋" w:eastAsia="仿宋" w:cs="仿宋"/>
          <w:color w:val="auto"/>
          <w:kern w:val="44"/>
          <w:sz w:val="24"/>
          <w:highlight w:val="none"/>
        </w:rPr>
        <w:t>合同签订之日起365个自然日内。</w:t>
      </w:r>
    </w:p>
    <w:p w14:paraId="26116A37">
      <w:pPr>
        <w:snapToGrid w:val="0"/>
        <w:spacing w:line="312" w:lineRule="auto"/>
        <w:ind w:firstLine="482" w:firstLineChars="200"/>
        <w:rPr>
          <w:rFonts w:hint="eastAsia" w:ascii="仿宋" w:hAnsi="仿宋" w:eastAsia="仿宋" w:cs="仿宋"/>
          <w:color w:val="auto"/>
          <w:kern w:val="44"/>
          <w:sz w:val="24"/>
          <w:highlight w:val="none"/>
        </w:rPr>
      </w:pPr>
      <w:bookmarkStart w:id="9" w:name="_Toc4272"/>
      <w:bookmarkStart w:id="10" w:name="_Toc8034"/>
      <w:bookmarkStart w:id="11" w:name="_Toc19001"/>
      <w:bookmarkStart w:id="12" w:name="_Toc15573"/>
      <w:bookmarkStart w:id="13" w:name="_Toc26434"/>
      <w:bookmarkStart w:id="14" w:name="_Toc16574"/>
      <w:bookmarkStart w:id="15" w:name="_Toc25580"/>
      <w:bookmarkStart w:id="16" w:name="_Toc26914"/>
      <w:bookmarkStart w:id="17" w:name="_Toc8056"/>
      <w:bookmarkStart w:id="18" w:name="_Toc25498"/>
      <w:r>
        <w:rPr>
          <w:rFonts w:hint="eastAsia" w:ascii="仿宋" w:hAnsi="仿宋" w:eastAsia="仿宋" w:cs="仿宋"/>
          <w:b/>
          <w:color w:val="auto"/>
          <w:sz w:val="24"/>
          <w:highlight w:val="none"/>
        </w:rPr>
        <w:t>（2）</w:t>
      </w:r>
      <w:r>
        <w:rPr>
          <w:rFonts w:hint="eastAsia" w:ascii="仿宋" w:hAnsi="仿宋" w:eastAsia="仿宋" w:cs="仿宋"/>
          <w:b/>
          <w:bCs/>
          <w:color w:val="auto"/>
          <w:kern w:val="44"/>
          <w:sz w:val="24"/>
          <w:highlight w:val="none"/>
        </w:rPr>
        <w:t>服务地点：</w:t>
      </w:r>
      <w:r>
        <w:rPr>
          <w:rFonts w:hint="eastAsia" w:ascii="仿宋" w:hAnsi="仿宋" w:eastAsia="仿宋" w:cs="仿宋"/>
          <w:color w:val="auto"/>
          <w:kern w:val="44"/>
          <w:sz w:val="24"/>
          <w:highlight w:val="none"/>
        </w:rPr>
        <w:t>成都市范围内（采购人指定地点）。</w:t>
      </w:r>
    </w:p>
    <w:p w14:paraId="444F2ED1">
      <w:pPr>
        <w:snapToGrid w:val="0"/>
        <w:spacing w:line="312"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0"/>
          <w:sz w:val="24"/>
          <w:highlight w:val="none"/>
        </w:rPr>
        <w:t>2、支付方式：</w:t>
      </w:r>
      <w:r>
        <w:rPr>
          <w:rFonts w:hint="eastAsia" w:ascii="仿宋" w:hAnsi="仿宋" w:eastAsia="仿宋" w:cs="仿宋"/>
          <w:color w:val="auto"/>
          <w:kern w:val="0"/>
          <w:sz w:val="24"/>
          <w:highlight w:val="none"/>
        </w:rPr>
        <w:t>分期付清。</w:t>
      </w:r>
    </w:p>
    <w:p w14:paraId="665147CB">
      <w:pPr>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3、支付约定</w:t>
      </w:r>
      <w:r>
        <w:rPr>
          <w:rFonts w:hint="eastAsia" w:ascii="仿宋" w:hAnsi="仿宋" w:eastAsia="仿宋" w:cs="仿宋"/>
          <w:bCs/>
          <w:color w:val="auto"/>
          <w:kern w:val="0"/>
          <w:sz w:val="24"/>
          <w:highlight w:val="none"/>
        </w:rPr>
        <w:t>：合同签订后，成交人向采购人提供支付凭证资料后支付15日内60%的合同款项；项目实施完毕并验收合格，成交人向采购人提供支付凭证资料后15日内支付剩余40%的合同款项。</w:t>
      </w:r>
    </w:p>
    <w:p w14:paraId="5BAE933B">
      <w:pPr>
        <w:snapToGrid w:val="0"/>
        <w:spacing w:line="312" w:lineRule="auto"/>
        <w:ind w:firstLine="482" w:firstLineChars="200"/>
        <w:rPr>
          <w:rFonts w:hint="eastAsia" w:ascii="仿宋" w:hAnsi="仿宋" w:eastAsia="仿宋" w:cs="仿宋"/>
          <w:color w:val="auto"/>
          <w:kern w:val="44"/>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kern w:val="44"/>
          <w:sz w:val="24"/>
          <w:highlight w:val="none"/>
        </w:rPr>
        <w:t>、合同价款：</w:t>
      </w:r>
      <w:r>
        <w:rPr>
          <w:rFonts w:hint="eastAsia" w:ascii="仿宋" w:hAnsi="仿宋" w:eastAsia="仿宋" w:cs="仿宋"/>
          <w:color w:val="auto"/>
          <w:kern w:val="44"/>
          <w:sz w:val="24"/>
          <w:highlight w:val="none"/>
        </w:rPr>
        <w:t>报价应是完成本项目所有采购内容和磋商文件规定的全部费用。</w:t>
      </w:r>
      <w:bookmarkStart w:id="19" w:name="_Toc32743"/>
      <w:bookmarkStart w:id="20" w:name="_Toc28829"/>
    </w:p>
    <w:p w14:paraId="54C1B5B7">
      <w:pPr>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kern w:val="0"/>
          <w:sz w:val="24"/>
          <w:highlight w:val="none"/>
        </w:rPr>
        <w:t>5、</w:t>
      </w:r>
      <w:bookmarkEnd w:id="19"/>
      <w:bookmarkEnd w:id="20"/>
      <w:bookmarkStart w:id="21" w:name="_Toc13673"/>
      <w:bookmarkStart w:id="22" w:name="_Toc821"/>
      <w:r>
        <w:rPr>
          <w:rFonts w:hint="eastAsia" w:ascii="仿宋" w:hAnsi="仿宋" w:eastAsia="仿宋" w:cs="仿宋"/>
          <w:b/>
          <w:bCs/>
          <w:color w:val="auto"/>
          <w:kern w:val="0"/>
          <w:sz w:val="24"/>
          <w:highlight w:val="none"/>
        </w:rPr>
        <w:t>验收标准和方法：</w:t>
      </w:r>
    </w:p>
    <w:p w14:paraId="2057507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1）验收组织方式：采购人自行验收 </w:t>
      </w:r>
    </w:p>
    <w:p w14:paraId="00FB40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2）是否邀请本项目的其他供应商：</w:t>
      </w:r>
      <w:r>
        <w:rPr>
          <w:rFonts w:hint="eastAsia" w:ascii="仿宋" w:hAnsi="仿宋" w:eastAsia="仿宋" w:cs="仿宋"/>
          <w:color w:val="auto"/>
          <w:sz w:val="24"/>
          <w:highlight w:val="none"/>
        </w:rPr>
        <w:t>□是  ☑否</w:t>
      </w:r>
    </w:p>
    <w:p w14:paraId="2A127D5C">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3）是否邀请专家：</w:t>
      </w:r>
      <w:r>
        <w:rPr>
          <w:rFonts w:hint="eastAsia" w:ascii="仿宋" w:hAnsi="仿宋" w:eastAsia="仿宋" w:cs="仿宋"/>
          <w:color w:val="auto"/>
          <w:sz w:val="24"/>
          <w:highlight w:val="none"/>
        </w:rPr>
        <w:t>□是  ☑否</w:t>
      </w:r>
    </w:p>
    <w:p w14:paraId="6DB468F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4）是否邀请服务对象：</w:t>
      </w:r>
      <w:r>
        <w:rPr>
          <w:rFonts w:hint="eastAsia" w:ascii="仿宋" w:hAnsi="仿宋" w:eastAsia="仿宋" w:cs="仿宋"/>
          <w:color w:val="auto"/>
          <w:sz w:val="24"/>
          <w:highlight w:val="none"/>
        </w:rPr>
        <w:t>□是  ☑否</w:t>
      </w:r>
    </w:p>
    <w:p w14:paraId="506848C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5）是否邀请第三方检测机构：</w:t>
      </w:r>
      <w:r>
        <w:rPr>
          <w:rFonts w:hint="eastAsia" w:ascii="仿宋" w:hAnsi="仿宋" w:eastAsia="仿宋" w:cs="仿宋"/>
          <w:color w:val="auto"/>
          <w:sz w:val="24"/>
          <w:highlight w:val="none"/>
        </w:rPr>
        <w:t>□是  ☑否</w:t>
      </w:r>
    </w:p>
    <w:p w14:paraId="0D77727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6）履约验收程序：一次性验收</w:t>
      </w:r>
    </w:p>
    <w:p w14:paraId="40FCC0E4">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7）履约验收时间：成交人提出验收申请之日起7日内组织验收 </w:t>
      </w:r>
    </w:p>
    <w:p w14:paraId="4F663508">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8）验收组织的其他事项：无 </w:t>
      </w:r>
    </w:p>
    <w:p w14:paraId="687F2A8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9）技术履约验收内容：按照本项目采购文件中“技术、服务要求”及成交人响应文件进行验收。 </w:t>
      </w:r>
    </w:p>
    <w:p w14:paraId="746A30C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 xml:space="preserve">10）商务履约验收内容：按照本项目采购文件中“商务要求”及成交人响应文件进行验收。 </w:t>
      </w:r>
    </w:p>
    <w:p w14:paraId="4827B1B2">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11）履约验收标准：参照《财政部关于进一步加强政府采购需求和履约验收管理的指导意见》（财库〔2016〕205号）、《政府采购需求管理办法》（财库〔2021〕22号）的要求进行验收。</w:t>
      </w:r>
    </w:p>
    <w:p w14:paraId="0C207F4B">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12）履约验收其他事项：无。</w:t>
      </w:r>
    </w:p>
    <w:bookmarkEnd w:id="21"/>
    <w:bookmarkEnd w:id="22"/>
    <w:p w14:paraId="5C349258">
      <w:pPr>
        <w:snapToGrid w:val="0"/>
        <w:spacing w:line="312"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6、包装方式和运输</w:t>
      </w:r>
      <w:bookmarkEnd w:id="9"/>
      <w:bookmarkEnd w:id="10"/>
      <w:bookmarkEnd w:id="11"/>
    </w:p>
    <w:p w14:paraId="7AC5C8C6">
      <w:pPr>
        <w:snapToGrid w:val="0"/>
        <w:spacing w:line="312" w:lineRule="auto"/>
        <w:ind w:firstLine="482" w:firstLineChars="200"/>
        <w:rPr>
          <w:rFonts w:hint="eastAsia" w:ascii="仿宋" w:hAnsi="仿宋" w:eastAsia="仿宋" w:cs="仿宋"/>
          <w:color w:val="auto"/>
          <w:kern w:val="0"/>
          <w:sz w:val="24"/>
          <w:highlight w:val="none"/>
        </w:rPr>
      </w:pPr>
      <w:bookmarkStart w:id="23" w:name="_Toc23217"/>
      <w:bookmarkStart w:id="24" w:name="_Toc9737"/>
      <w:bookmarkStart w:id="25" w:name="_Toc17036"/>
      <w:bookmarkStart w:id="26" w:name="_Toc31968"/>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（1）成交人</w:t>
      </w:r>
      <w:bookmarkEnd w:id="23"/>
      <w:bookmarkEnd w:id="24"/>
      <w:bookmarkEnd w:id="25"/>
      <w:bookmarkEnd w:id="26"/>
      <w:r>
        <w:rPr>
          <w:rFonts w:hint="eastAsia" w:ascii="仿宋" w:hAnsi="仿宋" w:eastAsia="仿宋" w:cs="仿宋"/>
          <w:color w:val="auto"/>
          <w:kern w:val="0"/>
          <w:sz w:val="24"/>
          <w:highlight w:val="none"/>
        </w:rPr>
        <w:t>应符合《商品包装政府采购需求标准（试行）》、《快递包装政府采购需求标准（试行）》（财办库〔2020〕123号）的要求进行产品及相关快递服务的包装。</w:t>
      </w:r>
    </w:p>
    <w:p w14:paraId="75B499BA">
      <w:pPr>
        <w:snapToGrid w:val="0"/>
        <w:spacing w:line="312" w:lineRule="auto"/>
        <w:ind w:firstLine="482" w:firstLineChars="200"/>
        <w:rPr>
          <w:rFonts w:hint="eastAsia" w:ascii="仿宋" w:hAnsi="仿宋" w:eastAsia="仿宋" w:cs="仿宋"/>
          <w:b/>
          <w:color w:val="auto"/>
          <w:sz w:val="24"/>
          <w:highlight w:val="none"/>
        </w:rPr>
      </w:pPr>
      <w:bookmarkStart w:id="27" w:name="_Toc30165"/>
      <w:bookmarkStart w:id="28" w:name="_Toc29648"/>
      <w:bookmarkStart w:id="29" w:name="_Toc1436"/>
      <w:r>
        <w:rPr>
          <w:rFonts w:hint="eastAsia" w:ascii="仿宋" w:hAnsi="仿宋" w:eastAsia="仿宋" w:cs="仿宋"/>
          <w:b/>
          <w:color w:val="auto"/>
          <w:sz w:val="24"/>
          <w:highlight w:val="none"/>
        </w:rPr>
        <w:t>7、保险</w:t>
      </w:r>
      <w:bookmarkEnd w:id="12"/>
      <w:bookmarkEnd w:id="13"/>
      <w:bookmarkEnd w:id="14"/>
      <w:bookmarkEnd w:id="15"/>
      <w:bookmarkEnd w:id="16"/>
      <w:bookmarkEnd w:id="17"/>
      <w:bookmarkEnd w:id="18"/>
      <w:bookmarkEnd w:id="27"/>
      <w:bookmarkEnd w:id="28"/>
      <w:bookmarkEnd w:id="29"/>
    </w:p>
    <w:p w14:paraId="1C5C3677">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14:paraId="2E0D596D">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21587B60">
      <w:pPr>
        <w:pStyle w:val="5"/>
        <w:snapToGrid w:val="0"/>
        <w:spacing w:line="312" w:lineRule="auto"/>
        <w:ind w:firstLine="482" w:firstLineChars="200"/>
        <w:rPr>
          <w:rFonts w:hint="eastAsia" w:ascii="仿宋" w:hAnsi="仿宋" w:eastAsia="仿宋" w:cs="仿宋"/>
          <w:color w:val="auto"/>
          <w:sz w:val="24"/>
          <w:szCs w:val="24"/>
          <w:highlight w:val="none"/>
        </w:rPr>
      </w:pPr>
      <w:bookmarkStart w:id="30" w:name="_Toc22026"/>
      <w:bookmarkStart w:id="31" w:name="_Toc11570"/>
      <w:bookmarkStart w:id="32" w:name="_Toc14109"/>
      <w:bookmarkStart w:id="33" w:name="_Toc13362"/>
      <w:bookmarkStart w:id="34" w:name="_Toc8092"/>
      <w:bookmarkStart w:id="35" w:name="_Toc32726"/>
      <w:bookmarkStart w:id="36" w:name="_Toc12073"/>
      <w:bookmarkStart w:id="37" w:name="_Toc20781"/>
      <w:bookmarkStart w:id="38" w:name="_Toc32286_WPSOffice_Level2"/>
      <w:bookmarkStart w:id="39" w:name="_Toc27313"/>
      <w:bookmarkStart w:id="40" w:name="_Toc14685"/>
      <w:bookmarkStart w:id="41" w:name="_Toc13746"/>
      <w:bookmarkStart w:id="42" w:name="_Toc2218"/>
      <w:r>
        <w:rPr>
          <w:rFonts w:hint="eastAsia" w:ascii="仿宋" w:hAnsi="仿宋" w:eastAsia="仿宋" w:cs="仿宋"/>
          <w:b/>
          <w:color w:val="auto"/>
          <w:sz w:val="24"/>
          <w:highlight w:val="none"/>
        </w:rPr>
        <w:t>★8、知识产权归属和处理方式：</w:t>
      </w:r>
      <w:r>
        <w:rPr>
          <w:rFonts w:hint="eastAsia" w:ascii="仿宋" w:hAnsi="仿宋" w:eastAsia="仿宋" w:cs="仿宋"/>
          <w:color w:val="auto"/>
          <w:sz w:val="24"/>
          <w:szCs w:val="24"/>
          <w:highlight w:val="none"/>
        </w:rPr>
        <w:t>采购人享有本项目实施过程中产生的知识成果及知识产权。</w:t>
      </w:r>
    </w:p>
    <w:p w14:paraId="38F81516">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9、违约责任与解决争议的办法</w:t>
      </w:r>
    </w:p>
    <w:p w14:paraId="2D712A64">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（1）违约责任</w:t>
      </w:r>
    </w:p>
    <w:p w14:paraId="1868587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1）双方必须遵守采购合同并执行采购合同中的各项规定，保证采购合同的正常履行。</w:t>
      </w:r>
    </w:p>
    <w:p w14:paraId="78F8056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601B2554">
      <w:pPr>
        <w:pStyle w:val="9"/>
        <w:snapToGrid w:val="0"/>
        <w:spacing w:line="312" w:lineRule="auto"/>
        <w:ind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highlight w:val="none"/>
        </w:rPr>
        <w:t>解决争议的办法</w:t>
      </w:r>
    </w:p>
    <w:p w14:paraId="231BC693">
      <w:pPr>
        <w:pStyle w:val="9"/>
        <w:snapToGrid w:val="0"/>
        <w:spacing w:line="312"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合同履行期间,若双方发生争议，可协商或由有关部门调解解决，协商或调解不成的，由当事人依法向采购人所在地有管辖权的法院提起诉讼维护其合法权益。</w:t>
      </w:r>
    </w:p>
    <w:p w14:paraId="29AA6B09">
      <w:pPr>
        <w:snapToGrid w:val="0"/>
        <w:spacing w:line="312"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10、其他要求</w:t>
      </w:r>
      <w:bookmarkEnd w:id="30"/>
      <w:bookmarkEnd w:id="31"/>
      <w:bookmarkEnd w:id="32"/>
      <w:bookmarkEnd w:id="33"/>
      <w:bookmarkEnd w:id="34"/>
      <w:bookmarkEnd w:id="35"/>
      <w:bookmarkEnd w:id="36"/>
      <w:bookmarkEnd w:id="37"/>
      <w:bookmarkEnd w:id="38"/>
      <w:bookmarkEnd w:id="39"/>
      <w:bookmarkEnd w:id="40"/>
      <w:bookmarkEnd w:id="41"/>
      <w:bookmarkEnd w:id="42"/>
    </w:p>
    <w:p w14:paraId="641CF98F">
      <w:pPr>
        <w:pStyle w:val="10"/>
        <w:tabs>
          <w:tab w:val="left" w:pos="0"/>
          <w:tab w:val="left" w:pos="1134"/>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（1）供应商应建立良好的项目实施质量管理体系，保障项目实施质量。</w:t>
      </w:r>
    </w:p>
    <w:p w14:paraId="24076690">
      <w:pPr>
        <w:pStyle w:val="11"/>
        <w:widowControl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供应商应为本项目配备项目实施相关人员，</w:t>
      </w:r>
      <w:r>
        <w:rPr>
          <w:rFonts w:hint="eastAsia" w:ascii="仿宋" w:hAnsi="仿宋" w:eastAsia="仿宋" w:cs="仿宋"/>
          <w:color w:val="auto"/>
          <w:sz w:val="24"/>
          <w:szCs w:val="24"/>
          <w:highlight w:val="none"/>
        </w:rPr>
        <w:t>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6802E56E">
      <w:pPr>
        <w:pStyle w:val="11"/>
        <w:widowControl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（3）供应商在项目执行过程中定期及时向采购人通告本项目的重大事项及其进度。</w:t>
      </w:r>
    </w:p>
    <w:p w14:paraId="20764509">
      <w:pPr>
        <w:pStyle w:val="4"/>
        <w:snapToGrid w:val="0"/>
        <w:spacing w:after="0"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（4）接受项目行业管理部门及政府有关部门的指导，接受采购人的监督。</w:t>
      </w:r>
    </w:p>
    <w:p w14:paraId="1DDE98C2">
      <w:pPr>
        <w:pStyle w:val="4"/>
        <w:snapToGrid w:val="0"/>
        <w:spacing w:after="0"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（5）供应商应结合本项目采购需求编制项目实施方案，包括：</w:t>
      </w:r>
      <w:r>
        <w:rPr>
          <w:rFonts w:hint="eastAsia" w:ascii="仿宋" w:hAnsi="仿宋" w:eastAsia="仿宋" w:cs="仿宋"/>
          <w:bCs/>
          <w:color w:val="auto"/>
          <w:sz w:val="24"/>
          <w:highlight w:val="none"/>
        </w:rPr>
        <w:t>①对本项目内容的理解及项目重难点分析、②质量保障措施、③实施进度计划、④人员职责及分工安排、⑤响应时间；</w:t>
      </w:r>
    </w:p>
    <w:p w14:paraId="2121195E">
      <w:pPr>
        <w:pStyle w:val="4"/>
        <w:snapToGrid w:val="0"/>
        <w:spacing w:after="0"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（6）供应商应结合本项目采购需求编制项目后期服务方案，包括①后期服务保障及技术支持方案，②工期保障措施，③安全措施；</w:t>
      </w:r>
    </w:p>
    <w:bookmarkEnd w:id="1"/>
    <w:p w14:paraId="5588F2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022DC"/>
    <w:rsid w:val="42C0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szCs w:val="24"/>
    </w:rPr>
  </w:style>
  <w:style w:type="paragraph" w:styleId="4">
    <w:name w:val="Body Text"/>
    <w:basedOn w:val="1"/>
    <w:qFormat/>
    <w:uiPriority w:val="0"/>
    <w:pPr>
      <w:spacing w:after="120"/>
    </w:pPr>
    <w:rPr>
      <w:rFonts w:ascii="Times New Roman" w:hAnsi="Times New Roman" w:eastAsia="宋体" w:cs="Times New Roman"/>
      <w:szCs w:val="24"/>
    </w:rPr>
  </w:style>
  <w:style w:type="paragraph" w:styleId="5">
    <w:name w:val="Body Text Indent"/>
    <w:basedOn w:val="1"/>
    <w:qFormat/>
    <w:uiPriority w:val="0"/>
    <w:pPr>
      <w:ind w:firstLine="630"/>
    </w:pPr>
    <w:rPr>
      <w:rFonts w:eastAsia="宋体"/>
      <w:sz w:val="32"/>
    </w:rPr>
  </w:style>
  <w:style w:type="paragraph" w:customStyle="1" w:styleId="8">
    <w:name w:val="ZG 正文"/>
    <w:basedOn w:val="1"/>
    <w:qFormat/>
    <w:uiPriority w:val="0"/>
    <w:pPr>
      <w:spacing w:line="600" w:lineRule="exact"/>
      <w:ind w:firstLine="200" w:firstLineChars="200"/>
    </w:pPr>
    <w:rPr>
      <w:rFonts w:eastAsia="仿宋_GB2312"/>
      <w:sz w:val="32"/>
    </w:r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
    <w:name w:val="正文（绿盟科技）"/>
    <w:next w:val="1"/>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2025-05-30T09:31:00Z</dcterms:created>
  <dc:creator>admin</dc:creator>
  <cp:lastModifiedBy>admin</cp:lastModifiedBy>
  <dcterms:modified xsi:type="dcterms:W3CDTF">2025-05-30T09:31:32Z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FFB8A3620D354AE599E2A4DA89BFEFBC_11</vt:lpwstr>
  </property>
  <property fmtid="{D5CDD505-2E9C-101B-9397-08002B2CF9AE}" pid="4" name="KSOTemplateDocerSaveRecord">
    <vt:lpwstr>eyJoZGlkIjoiMjNiNGJiYWRkMGJmMTdjZTEzY2Y3OTgwMDZjMGI0MTEiLCJ1c2VySWQiOiIzOTA3OTIwODQifQ==</vt:lpwstr>
  </property>
</Properties>
</file>