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40E2D">
      <w:pPr>
        <w:pStyle w:val="2"/>
        <w:pageBreakBefore/>
        <w:snapToGrid w:val="0"/>
        <w:spacing w:before="0" w:after="0" w:line="312" w:lineRule="auto"/>
        <w:jc w:val="center"/>
        <w:rPr>
          <w:rFonts w:hint="eastAsia" w:ascii="仿宋" w:hAnsi="仿宋" w:eastAsia="仿宋" w:cs="仿宋"/>
          <w:sz w:val="36"/>
          <w:szCs w:val="36"/>
        </w:rPr>
      </w:pPr>
      <w:bookmarkStart w:id="0" w:name="_Toc25849"/>
      <w:r>
        <w:rPr>
          <w:rFonts w:hint="eastAsia" w:ascii="仿宋" w:hAnsi="仿宋" w:eastAsia="仿宋" w:cs="仿宋"/>
          <w:sz w:val="36"/>
          <w:szCs w:val="36"/>
        </w:rPr>
        <w:t xml:space="preserve">  采购项目技术、服务、商务及其他要求</w:t>
      </w:r>
      <w:bookmarkEnd w:id="0"/>
      <w:bookmarkStart w:id="1" w:name="_Hlk45530010"/>
    </w:p>
    <w:p w14:paraId="7A14735A">
      <w:pPr>
        <w:rPr>
          <w:rFonts w:hint="eastAsia"/>
        </w:rPr>
      </w:pPr>
    </w:p>
    <w:p w14:paraId="23541F0A">
      <w:pPr>
        <w:snapToGrid w:val="0"/>
        <w:spacing w:line="312" w:lineRule="auto"/>
        <w:ind w:firstLine="241" w:firstLineChars="100"/>
        <w:outlineLvl w:val="1"/>
        <w:rPr>
          <w:rFonts w:hint="eastAsia" w:ascii="仿宋" w:hAnsi="仿宋" w:eastAsia="仿宋" w:cs="仿宋"/>
          <w:b/>
          <w:sz w:val="24"/>
        </w:rPr>
      </w:pPr>
      <w:r>
        <w:rPr>
          <w:rFonts w:hint="eastAsia" w:ascii="仿宋" w:hAnsi="仿宋" w:eastAsia="仿宋" w:cs="仿宋"/>
          <w:b/>
          <w:bCs/>
          <w:kern w:val="44"/>
          <w:sz w:val="24"/>
        </w:rPr>
        <w:t>注：本章中</w:t>
      </w:r>
      <w:r>
        <w:rPr>
          <w:rFonts w:hint="eastAsia" w:ascii="仿宋" w:hAnsi="仿宋" w:eastAsia="仿宋" w:cs="仿宋"/>
          <w:b/>
          <w:sz w:val="24"/>
        </w:rPr>
        <w:t>带“★”项内容为本项目实质性要求，未响应或不满足，按无效响应处理。</w:t>
      </w:r>
      <w:r>
        <w:rPr>
          <w:rFonts w:hint="eastAsia" w:ascii="仿宋" w:hAnsi="仿宋" w:eastAsia="仿宋" w:cs="仿宋"/>
          <w:b/>
          <w:sz w:val="28"/>
          <w:szCs w:val="28"/>
        </w:rPr>
        <w:br w:type="textWrapping"/>
      </w:r>
      <w:r>
        <w:rPr>
          <w:rFonts w:hint="eastAsia" w:ascii="仿宋" w:hAnsi="仿宋" w:eastAsia="仿宋" w:cs="仿宋"/>
          <w:b/>
          <w:bCs/>
          <w:kern w:val="44"/>
          <w:sz w:val="28"/>
          <w:szCs w:val="28"/>
        </w:rPr>
        <w:t>一、项目概况</w:t>
      </w:r>
    </w:p>
    <w:p w14:paraId="58FA75F6">
      <w:pPr>
        <w:snapToGrid w:val="0"/>
        <w:spacing w:line="312" w:lineRule="auto"/>
        <w:ind w:firstLine="281" w:firstLineChars="100"/>
        <w:outlineLvl w:val="1"/>
        <w:rPr>
          <w:rFonts w:hint="eastAsia" w:ascii="仿宋" w:hAnsi="仿宋" w:eastAsia="仿宋" w:cs="仿宋"/>
          <w:b/>
          <w:bCs/>
          <w:kern w:val="44"/>
          <w:sz w:val="28"/>
          <w:szCs w:val="28"/>
        </w:rPr>
      </w:pPr>
      <w:r>
        <w:rPr>
          <w:rFonts w:hint="eastAsia" w:ascii="仿宋" w:hAnsi="仿宋" w:eastAsia="仿宋" w:cs="仿宋"/>
          <w:b/>
          <w:bCs/>
          <w:kern w:val="44"/>
          <w:sz w:val="28"/>
          <w:szCs w:val="28"/>
        </w:rPr>
        <w:t>（一）项目概述</w:t>
      </w:r>
    </w:p>
    <w:p w14:paraId="49105629">
      <w:pPr>
        <w:snapToGrid w:val="0"/>
        <w:spacing w:line="312" w:lineRule="auto"/>
        <w:ind w:firstLine="480" w:firstLineChars="200"/>
        <w:rPr>
          <w:rFonts w:hint="eastAsia" w:ascii="仿宋" w:hAnsi="仿宋" w:eastAsia="仿宋" w:cs="仿宋"/>
          <w:kern w:val="44"/>
          <w:sz w:val="24"/>
        </w:rPr>
      </w:pPr>
      <w:r>
        <w:rPr>
          <w:rFonts w:hint="eastAsia" w:ascii="仿宋" w:hAnsi="仿宋" w:eastAsia="仿宋" w:cs="仿宋"/>
          <w:kern w:val="44"/>
          <w:sz w:val="24"/>
        </w:rPr>
        <w:t>四川省产品碳足迹数据库项目，本次采购共分1个包。</w:t>
      </w:r>
    </w:p>
    <w:p w14:paraId="7551901E">
      <w:pPr>
        <w:snapToGrid w:val="0"/>
        <w:spacing w:line="312" w:lineRule="auto"/>
        <w:ind w:firstLine="281" w:firstLineChars="100"/>
        <w:outlineLvl w:val="1"/>
        <w:rPr>
          <w:rFonts w:hint="eastAsia" w:ascii="仿宋" w:hAnsi="仿宋" w:eastAsia="仿宋" w:cs="仿宋"/>
          <w:b/>
          <w:bCs/>
          <w:kern w:val="44"/>
          <w:sz w:val="28"/>
          <w:szCs w:val="28"/>
        </w:rPr>
      </w:pPr>
      <w:r>
        <w:rPr>
          <w:rFonts w:hint="eastAsia" w:ascii="仿宋" w:hAnsi="仿宋" w:eastAsia="仿宋" w:cs="仿宋"/>
          <w:b/>
          <w:bCs/>
          <w:kern w:val="44"/>
          <w:sz w:val="28"/>
          <w:szCs w:val="28"/>
        </w:rPr>
        <w:t>（二）标的名称及所属行业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974"/>
        <w:gridCol w:w="2779"/>
      </w:tblGrid>
      <w:tr w14:paraId="0B77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86" w:type="dxa"/>
            <w:noWrap w:val="0"/>
            <w:vAlign w:val="center"/>
          </w:tcPr>
          <w:p w14:paraId="3DD7E85A">
            <w:pPr>
              <w:pStyle w:val="3"/>
              <w:snapToGrid w:val="0"/>
              <w:spacing w:line="312" w:lineRule="auto"/>
              <w:ind w:firstLine="0" w:firstLineChars="0"/>
              <w:jc w:val="center"/>
              <w:rPr>
                <w:rFonts w:hint="eastAsia" w:ascii="仿宋" w:hAnsi="仿宋" w:eastAsia="仿宋" w:cs="仿宋"/>
                <w:b/>
                <w:sz w:val="24"/>
              </w:rPr>
            </w:pPr>
            <w:r>
              <w:rPr>
                <w:rFonts w:hint="eastAsia" w:ascii="仿宋" w:hAnsi="仿宋" w:eastAsia="仿宋" w:cs="仿宋"/>
                <w:b/>
                <w:sz w:val="24"/>
              </w:rPr>
              <w:t>序号</w:t>
            </w:r>
          </w:p>
        </w:tc>
        <w:tc>
          <w:tcPr>
            <w:tcW w:w="5215" w:type="dxa"/>
            <w:noWrap w:val="0"/>
            <w:vAlign w:val="center"/>
          </w:tcPr>
          <w:p w14:paraId="37D1899B">
            <w:pPr>
              <w:pStyle w:val="3"/>
              <w:snapToGrid w:val="0"/>
              <w:spacing w:line="312" w:lineRule="auto"/>
              <w:ind w:firstLine="0" w:firstLineChars="0"/>
              <w:jc w:val="center"/>
              <w:rPr>
                <w:rFonts w:hint="eastAsia" w:ascii="仿宋" w:hAnsi="仿宋" w:eastAsia="仿宋" w:cs="仿宋"/>
                <w:b/>
                <w:sz w:val="24"/>
              </w:rPr>
            </w:pPr>
            <w:r>
              <w:rPr>
                <w:rFonts w:hint="eastAsia" w:ascii="仿宋" w:hAnsi="仿宋" w:eastAsia="仿宋" w:cs="仿宋"/>
                <w:b/>
                <w:sz w:val="24"/>
              </w:rPr>
              <w:t>标的名称</w:t>
            </w:r>
          </w:p>
        </w:tc>
        <w:tc>
          <w:tcPr>
            <w:tcW w:w="2903" w:type="dxa"/>
            <w:noWrap w:val="0"/>
            <w:vAlign w:val="center"/>
          </w:tcPr>
          <w:p w14:paraId="26B3EC3C">
            <w:pPr>
              <w:pStyle w:val="3"/>
              <w:snapToGrid w:val="0"/>
              <w:spacing w:line="312" w:lineRule="auto"/>
              <w:ind w:firstLine="0" w:firstLineChars="0"/>
              <w:jc w:val="center"/>
              <w:rPr>
                <w:rFonts w:hint="eastAsia" w:ascii="仿宋" w:hAnsi="仿宋" w:eastAsia="仿宋" w:cs="仿宋"/>
                <w:kern w:val="44"/>
                <w:sz w:val="24"/>
              </w:rPr>
            </w:pPr>
            <w:r>
              <w:rPr>
                <w:rFonts w:hint="eastAsia" w:ascii="仿宋" w:hAnsi="仿宋" w:eastAsia="仿宋" w:cs="仿宋"/>
                <w:b/>
                <w:sz w:val="24"/>
              </w:rPr>
              <w:t>所属行业</w:t>
            </w:r>
          </w:p>
        </w:tc>
      </w:tr>
      <w:tr w14:paraId="2B85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86" w:type="dxa"/>
            <w:noWrap w:val="0"/>
            <w:vAlign w:val="center"/>
          </w:tcPr>
          <w:p w14:paraId="546DCADB">
            <w:pPr>
              <w:pStyle w:val="3"/>
              <w:snapToGrid w:val="0"/>
              <w:spacing w:line="312" w:lineRule="auto"/>
              <w:ind w:firstLine="0" w:firstLineChars="0"/>
              <w:jc w:val="center"/>
              <w:rPr>
                <w:rFonts w:hint="eastAsia" w:ascii="仿宋" w:hAnsi="仿宋" w:eastAsia="仿宋" w:cs="仿宋"/>
                <w:bCs/>
                <w:sz w:val="24"/>
              </w:rPr>
            </w:pPr>
            <w:r>
              <w:rPr>
                <w:rFonts w:hint="eastAsia" w:ascii="仿宋" w:hAnsi="仿宋" w:eastAsia="仿宋" w:cs="仿宋"/>
                <w:bCs/>
                <w:sz w:val="24"/>
              </w:rPr>
              <w:t>1</w:t>
            </w:r>
          </w:p>
        </w:tc>
        <w:tc>
          <w:tcPr>
            <w:tcW w:w="5215" w:type="dxa"/>
            <w:noWrap w:val="0"/>
            <w:vAlign w:val="center"/>
          </w:tcPr>
          <w:p w14:paraId="534AF109">
            <w:pPr>
              <w:pStyle w:val="3"/>
              <w:snapToGrid w:val="0"/>
              <w:spacing w:line="312" w:lineRule="auto"/>
              <w:ind w:firstLine="0" w:firstLineChars="0"/>
              <w:jc w:val="center"/>
              <w:rPr>
                <w:rFonts w:ascii="仿宋" w:hAnsi="仿宋" w:eastAsia="仿宋" w:cs="仿宋"/>
                <w:bCs/>
                <w:sz w:val="24"/>
              </w:rPr>
            </w:pPr>
            <w:bookmarkStart w:id="36" w:name="_GoBack"/>
            <w:r>
              <w:rPr>
                <w:rFonts w:hint="eastAsia" w:ascii="仿宋" w:hAnsi="仿宋" w:eastAsia="仿宋" w:cs="仿宋"/>
                <w:kern w:val="44"/>
                <w:sz w:val="24"/>
              </w:rPr>
              <w:t>四川省产品碳足迹数据库服务</w:t>
            </w:r>
            <w:bookmarkEnd w:id="36"/>
          </w:p>
        </w:tc>
        <w:tc>
          <w:tcPr>
            <w:tcW w:w="2903" w:type="dxa"/>
            <w:noWrap w:val="0"/>
            <w:vAlign w:val="center"/>
          </w:tcPr>
          <w:p w14:paraId="2A2CF99C">
            <w:pPr>
              <w:pStyle w:val="3"/>
              <w:snapToGrid w:val="0"/>
              <w:spacing w:line="312" w:lineRule="auto"/>
              <w:ind w:firstLine="0" w:firstLineChars="0"/>
              <w:jc w:val="center"/>
              <w:rPr>
                <w:rFonts w:ascii="仿宋" w:hAnsi="仿宋" w:eastAsia="仿宋" w:cs="仿宋"/>
                <w:kern w:val="44"/>
                <w:sz w:val="24"/>
              </w:rPr>
            </w:pPr>
            <w:r>
              <w:rPr>
                <w:rFonts w:hint="eastAsia" w:ascii="仿宋" w:hAnsi="仿宋" w:eastAsia="仿宋" w:cs="仿宋"/>
                <w:kern w:val="44"/>
                <w:sz w:val="24"/>
              </w:rPr>
              <w:t>软件和信息技术服务业</w:t>
            </w:r>
          </w:p>
        </w:tc>
      </w:tr>
    </w:tbl>
    <w:p w14:paraId="24F20EE2">
      <w:pPr>
        <w:snapToGrid w:val="0"/>
        <w:spacing w:line="312" w:lineRule="auto"/>
        <w:ind w:firstLine="480" w:firstLineChars="200"/>
        <w:rPr>
          <w:rFonts w:hint="eastAsia" w:ascii="仿宋" w:hAnsi="仿宋" w:eastAsia="仿宋" w:cs="仿宋"/>
          <w:kern w:val="44"/>
          <w:sz w:val="24"/>
        </w:rPr>
      </w:pPr>
      <w:r>
        <w:rPr>
          <w:rFonts w:hint="eastAsia" w:ascii="仿宋" w:hAnsi="仿宋" w:eastAsia="仿宋" w:cs="仿宋"/>
          <w:kern w:val="44"/>
          <w:sz w:val="24"/>
        </w:rPr>
        <w:t>注：1、上表中“所属行业”系指“《工业和信息化部、国家统计局、国家发展和改革委员会、财政部关于印发中小企业划型标准规定的通知》（工信部联企业〔2011〕300号文件）、《统计上大中小微型企业划分办法（2017）》附表：统计上大中小微型企业划分标准”规定的中小企业划型标准所属行业。</w:t>
      </w:r>
    </w:p>
    <w:p w14:paraId="6A97FD54">
      <w:pPr>
        <w:snapToGrid w:val="0"/>
        <w:spacing w:line="312" w:lineRule="auto"/>
        <w:ind w:firstLine="482" w:firstLineChars="200"/>
        <w:rPr>
          <w:rFonts w:ascii="仿宋" w:hAnsi="仿宋" w:eastAsia="仿宋" w:cs="仿宋"/>
          <w:b/>
          <w:bCs/>
          <w:kern w:val="0"/>
          <w:sz w:val="24"/>
          <w:szCs w:val="24"/>
        </w:rPr>
      </w:pPr>
      <w:r>
        <w:rPr>
          <w:rFonts w:hint="eastAsia" w:ascii="仿宋" w:hAnsi="仿宋" w:eastAsia="仿宋" w:cs="仿宋"/>
          <w:b/>
          <w:bCs/>
          <w:kern w:val="44"/>
          <w:sz w:val="24"/>
        </w:rPr>
        <w:t>2、供应商应按照上表所列标的名称、所属行业填写《中小企业声明函》</w:t>
      </w:r>
      <w:r>
        <w:rPr>
          <w:rFonts w:hint="eastAsia" w:ascii="仿宋" w:hAnsi="仿宋" w:eastAsia="仿宋" w:cs="仿宋"/>
          <w:b/>
          <w:bCs/>
          <w:kern w:val="0"/>
          <w:sz w:val="24"/>
          <w:szCs w:val="24"/>
        </w:rPr>
        <w:t>。</w:t>
      </w:r>
    </w:p>
    <w:p w14:paraId="5EF2BFC2">
      <w:pPr>
        <w:pStyle w:val="4"/>
        <w:rPr>
          <w:rFonts w:hint="eastAsia"/>
        </w:rPr>
      </w:pPr>
    </w:p>
    <w:p w14:paraId="68C95463">
      <w:pPr>
        <w:snapToGrid w:val="0"/>
        <w:spacing w:line="312" w:lineRule="auto"/>
        <w:outlineLvl w:val="1"/>
        <w:rPr>
          <w:rFonts w:hint="eastAsia" w:ascii="仿宋" w:hAnsi="仿宋" w:eastAsia="仿宋" w:cs="仿宋"/>
          <w:b/>
          <w:bCs/>
          <w:kern w:val="44"/>
          <w:sz w:val="28"/>
          <w:szCs w:val="28"/>
        </w:rPr>
      </w:pPr>
      <w:r>
        <w:rPr>
          <w:rFonts w:hint="eastAsia" w:ascii="仿宋" w:hAnsi="仿宋" w:eastAsia="仿宋" w:cs="仿宋"/>
          <w:b/>
          <w:bCs/>
          <w:kern w:val="44"/>
          <w:sz w:val="28"/>
          <w:szCs w:val="28"/>
        </w:rPr>
        <w:t>二、技术、服务要求</w:t>
      </w:r>
    </w:p>
    <w:p w14:paraId="2F9B7743">
      <w:pPr>
        <w:snapToGrid w:val="0"/>
        <w:spacing w:line="312" w:lineRule="auto"/>
        <w:ind w:firstLine="482" w:firstLineChars="200"/>
        <w:outlineLvl w:val="1"/>
        <w:rPr>
          <w:rFonts w:hint="eastAsia" w:ascii="仿宋" w:hAnsi="仿宋" w:eastAsia="仿宋" w:cs="仿宋"/>
          <w:b/>
          <w:bCs/>
          <w:kern w:val="44"/>
          <w:sz w:val="28"/>
          <w:szCs w:val="28"/>
        </w:rPr>
      </w:pPr>
      <w:r>
        <w:rPr>
          <w:rFonts w:hint="eastAsia" w:ascii="仿宋" w:hAnsi="仿宋" w:eastAsia="仿宋" w:cs="仿宋"/>
          <w:b/>
          <w:sz w:val="24"/>
        </w:rPr>
        <w:t>★</w:t>
      </w:r>
      <w:r>
        <w:rPr>
          <w:rFonts w:hint="eastAsia" w:ascii="仿宋" w:hAnsi="仿宋" w:eastAsia="仿宋" w:cs="仿宋"/>
          <w:b/>
          <w:bCs/>
          <w:kern w:val="44"/>
          <w:sz w:val="28"/>
          <w:szCs w:val="28"/>
        </w:rPr>
        <w:t>（一）服务内容及要求</w:t>
      </w:r>
    </w:p>
    <w:p w14:paraId="48EF0CA4">
      <w:pPr>
        <w:adjustRightInd w:val="0"/>
        <w:snapToGrid w:val="0"/>
        <w:spacing w:line="312" w:lineRule="auto"/>
        <w:ind w:firstLine="482" w:firstLineChars="200"/>
        <w:rPr>
          <w:rFonts w:hint="eastAsia" w:ascii="仿宋" w:hAnsi="仿宋" w:eastAsia="仿宋" w:cs="仿宋"/>
          <w:sz w:val="24"/>
          <w:szCs w:val="24"/>
        </w:rPr>
      </w:pPr>
      <w:r>
        <w:rPr>
          <w:rFonts w:hint="eastAsia" w:ascii="仿宋" w:hAnsi="仿宋" w:eastAsia="仿宋" w:cs="仿宋"/>
          <w:b/>
          <w:bCs/>
          <w:snapToGrid w:val="0"/>
          <w:sz w:val="24"/>
          <w:szCs w:val="24"/>
        </w:rPr>
        <w:t>1、</w:t>
      </w:r>
      <w:r>
        <w:rPr>
          <w:rFonts w:hint="eastAsia" w:ascii="仿宋" w:hAnsi="仿宋" w:eastAsia="仿宋" w:cs="仿宋"/>
          <w:b/>
          <w:bCs/>
          <w:sz w:val="24"/>
          <w:szCs w:val="24"/>
        </w:rPr>
        <w:t>搭建公共服务平台可视化网</w:t>
      </w:r>
      <w:r>
        <w:rPr>
          <w:rFonts w:hint="eastAsia" w:ascii="仿宋" w:hAnsi="仿宋" w:eastAsia="仿宋" w:cs="仿宋"/>
          <w:b/>
          <w:sz w:val="24"/>
          <w:szCs w:val="24"/>
        </w:rPr>
        <w:t>页</w:t>
      </w:r>
    </w:p>
    <w:p w14:paraId="720FE74C">
      <w:pPr>
        <w:adjustRightInd w:val="0"/>
        <w:snapToGrid w:val="0"/>
        <w:spacing w:line="312" w:lineRule="auto"/>
        <w:ind w:firstLine="643"/>
        <w:rPr>
          <w:rFonts w:hint="eastAsia" w:ascii="仿宋" w:hAnsi="仿宋" w:eastAsia="仿宋" w:cs="仿宋"/>
          <w:sz w:val="24"/>
          <w:szCs w:val="24"/>
        </w:rPr>
      </w:pPr>
      <w:r>
        <w:rPr>
          <w:rFonts w:hint="eastAsia" w:ascii="仿宋" w:hAnsi="仿宋" w:eastAsia="仿宋" w:cs="仿宋"/>
          <w:sz w:val="24"/>
          <w:szCs w:val="24"/>
        </w:rPr>
        <w:t>（1）碳足迹因子数据库：建立部分本地化碳足迹因子数据，构建碳足迹核算模型，支持开展部分产品碳足迹自动核算。</w:t>
      </w:r>
    </w:p>
    <w:p w14:paraId="4CD835FB">
      <w:pPr>
        <w:adjustRightInd w:val="0"/>
        <w:snapToGrid w:val="0"/>
        <w:spacing w:line="312" w:lineRule="auto"/>
        <w:ind w:firstLine="643"/>
        <w:rPr>
          <w:rFonts w:hint="eastAsia" w:ascii="仿宋" w:hAnsi="仿宋" w:eastAsia="仿宋" w:cs="仿宋"/>
          <w:sz w:val="24"/>
          <w:szCs w:val="24"/>
        </w:rPr>
      </w:pPr>
      <w:r>
        <w:rPr>
          <w:rFonts w:hint="eastAsia" w:ascii="仿宋" w:hAnsi="仿宋" w:eastAsia="仿宋" w:cs="仿宋"/>
          <w:sz w:val="24"/>
          <w:szCs w:val="24"/>
        </w:rPr>
        <w:t>（2）政策标准：汇聚发布政策动态（国际政策、国家政策、地方政策）、资讯信息、产品碳足迹优良实践案例相关信息；跟踪产品碳足迹核算、评价相关国际标准、国家标准、行业标准、地方标准、团体标准，汇聚发布产品碳足迹核算标准规范。</w:t>
      </w:r>
    </w:p>
    <w:p w14:paraId="18BF13DD">
      <w:pPr>
        <w:adjustRightInd w:val="0"/>
        <w:snapToGrid w:val="0"/>
        <w:spacing w:line="312" w:lineRule="auto"/>
        <w:ind w:firstLine="643"/>
        <w:rPr>
          <w:rFonts w:hint="eastAsia" w:ascii="仿宋" w:hAnsi="仿宋" w:eastAsia="仿宋" w:cs="仿宋"/>
          <w:sz w:val="24"/>
          <w:szCs w:val="24"/>
        </w:rPr>
      </w:pPr>
      <w:r>
        <w:rPr>
          <w:rFonts w:hint="eastAsia" w:ascii="仿宋" w:hAnsi="仿宋" w:eastAsia="仿宋" w:cs="仿宋"/>
          <w:sz w:val="24"/>
          <w:szCs w:val="24"/>
        </w:rPr>
        <w:t>（3）分级管理与信息披露：支持企业开展产品碳足迹信息披露，支持管理部门对产品碳足迹进行分级管理。</w:t>
      </w:r>
    </w:p>
    <w:p w14:paraId="63F381D3">
      <w:pPr>
        <w:adjustRightInd w:val="0"/>
        <w:snapToGrid w:val="0"/>
        <w:spacing w:line="312" w:lineRule="auto"/>
        <w:ind w:firstLine="482" w:firstLineChars="200"/>
        <w:rPr>
          <w:rFonts w:hint="eastAsia" w:ascii="仿宋" w:hAnsi="仿宋" w:eastAsia="仿宋" w:cs="仿宋"/>
          <w:snapToGrid w:val="0"/>
          <w:sz w:val="24"/>
          <w:szCs w:val="24"/>
        </w:rPr>
      </w:pPr>
      <w:r>
        <w:rPr>
          <w:rFonts w:hint="eastAsia" w:ascii="仿宋" w:hAnsi="仿宋" w:eastAsia="仿宋" w:cs="仿宋"/>
          <w:b/>
          <w:bCs/>
          <w:snapToGrid w:val="0"/>
          <w:sz w:val="24"/>
          <w:szCs w:val="24"/>
        </w:rPr>
        <w:t>2、建立碳足迹因子数据库</w:t>
      </w:r>
    </w:p>
    <w:p w14:paraId="408F4740">
      <w:pPr>
        <w:adjustRightInd w:val="0"/>
        <w:snapToGrid w:val="0"/>
        <w:spacing w:line="312"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基于AI辅助的数据库开发模式，开展碳足迹因子数据库定制开发，基于各类常见公开数据源和地方政府数据源，在资源开采、电力等基础能源、运输、原材料等基础领域完成10种以上典型产品碳足迹因子数据库开发建设，建立各类产品核算模型，支持生成二维码，对电力、天然气（页岩气）等碳足迹因子数据结果层层追溯、层层跳转。</w:t>
      </w:r>
    </w:p>
    <w:p w14:paraId="11E07865">
      <w:pPr>
        <w:adjustRightInd w:val="0"/>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napToGrid w:val="0"/>
          <w:sz w:val="24"/>
          <w:szCs w:val="24"/>
        </w:rPr>
        <w:t>3、</w:t>
      </w:r>
      <w:r>
        <w:rPr>
          <w:rFonts w:hint="eastAsia" w:ascii="仿宋" w:hAnsi="仿宋" w:eastAsia="仿宋" w:cs="仿宋"/>
          <w:b/>
          <w:bCs/>
          <w:sz w:val="24"/>
          <w:szCs w:val="24"/>
        </w:rPr>
        <w:t>建立第一批产品碳足迹核算模型</w:t>
      </w:r>
    </w:p>
    <w:p w14:paraId="04A182D5">
      <w:pPr>
        <w:adjustRightInd w:val="0"/>
        <w:snapToGrid w:val="0"/>
        <w:spacing w:line="312"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基于四川省产业定位，以光伏、锂电、动力电池、新能源汽车、电器电子等出口产业以及钒钛等特色产业为重点，构建10种以上产品碳足迹核算模型，实现第一批产品的自动核算。</w:t>
      </w:r>
    </w:p>
    <w:p w14:paraId="7AE90F42">
      <w:pPr>
        <w:snapToGrid w:val="0"/>
        <w:spacing w:line="312" w:lineRule="auto"/>
        <w:ind w:firstLine="281" w:firstLineChars="100"/>
        <w:rPr>
          <w:rFonts w:hint="eastAsia" w:ascii="仿宋" w:hAnsi="仿宋" w:eastAsia="仿宋" w:cs="仿宋"/>
          <w:b/>
          <w:bCs/>
          <w:kern w:val="44"/>
          <w:sz w:val="28"/>
          <w:szCs w:val="28"/>
        </w:rPr>
      </w:pPr>
    </w:p>
    <w:p w14:paraId="10467518">
      <w:pPr>
        <w:snapToGrid w:val="0"/>
        <w:spacing w:line="312" w:lineRule="auto"/>
        <w:ind w:firstLine="281" w:firstLineChars="100"/>
        <w:outlineLvl w:val="1"/>
        <w:rPr>
          <w:rFonts w:hint="eastAsia" w:ascii="仿宋" w:hAnsi="仿宋" w:eastAsia="仿宋" w:cs="仿宋"/>
          <w:b/>
          <w:bCs/>
          <w:kern w:val="44"/>
          <w:sz w:val="28"/>
          <w:szCs w:val="28"/>
        </w:rPr>
      </w:pPr>
      <w:r>
        <w:rPr>
          <w:rFonts w:hint="eastAsia" w:ascii="仿宋" w:hAnsi="仿宋" w:eastAsia="仿宋" w:cs="仿宋"/>
          <w:b/>
          <w:bCs/>
          <w:kern w:val="44"/>
          <w:sz w:val="28"/>
          <w:szCs w:val="28"/>
        </w:rPr>
        <w:t>（二）商务要求</w:t>
      </w:r>
    </w:p>
    <w:p w14:paraId="14A76FE1">
      <w:pPr>
        <w:snapToGrid w:val="0"/>
        <w:spacing w:line="312" w:lineRule="auto"/>
        <w:ind w:firstLine="482" w:firstLineChars="200"/>
        <w:rPr>
          <w:rFonts w:ascii="仿宋" w:hAnsi="仿宋" w:eastAsia="仿宋" w:cs="仿宋"/>
          <w:b/>
          <w:bCs/>
          <w:kern w:val="44"/>
          <w:sz w:val="24"/>
        </w:rPr>
      </w:pPr>
      <w:r>
        <w:rPr>
          <w:rFonts w:hint="eastAsia" w:ascii="仿宋" w:hAnsi="仿宋" w:eastAsia="仿宋" w:cs="仿宋"/>
          <w:b/>
          <w:sz w:val="24"/>
        </w:rPr>
        <w:t>★</w:t>
      </w:r>
      <w:r>
        <w:rPr>
          <w:rFonts w:hint="eastAsia" w:ascii="仿宋" w:hAnsi="仿宋" w:eastAsia="仿宋" w:cs="仿宋"/>
          <w:b/>
          <w:bCs/>
          <w:kern w:val="44"/>
          <w:sz w:val="24"/>
        </w:rPr>
        <w:t>1、服务时间及服务地点</w:t>
      </w:r>
    </w:p>
    <w:p w14:paraId="25A128E6">
      <w:pPr>
        <w:snapToGrid w:val="0"/>
        <w:spacing w:line="312" w:lineRule="auto"/>
        <w:ind w:firstLine="482" w:firstLineChars="200"/>
        <w:rPr>
          <w:rFonts w:hint="eastAsia" w:ascii="仿宋" w:hAnsi="仿宋" w:eastAsia="仿宋" w:cs="仿宋"/>
          <w:b/>
          <w:bCs/>
          <w:kern w:val="44"/>
          <w:sz w:val="24"/>
          <w:highlight w:val="none"/>
        </w:rPr>
      </w:pPr>
      <w:r>
        <w:rPr>
          <w:rFonts w:hint="eastAsia" w:ascii="仿宋" w:hAnsi="仿宋" w:eastAsia="仿宋" w:cs="仿宋"/>
          <w:b/>
          <w:bCs/>
          <w:kern w:val="44"/>
          <w:sz w:val="24"/>
        </w:rPr>
        <w:t>（1）服务时间：</w:t>
      </w:r>
      <w:r>
        <w:rPr>
          <w:rFonts w:hint="eastAsia" w:ascii="仿宋" w:hAnsi="仿宋" w:eastAsia="仿宋" w:cs="仿宋"/>
          <w:kern w:val="44"/>
          <w:sz w:val="24"/>
          <w:highlight w:val="none"/>
        </w:rPr>
        <w:t>合同签订后150天内完成。</w:t>
      </w:r>
    </w:p>
    <w:p w14:paraId="59672A9F">
      <w:pPr>
        <w:snapToGrid w:val="0"/>
        <w:spacing w:line="312" w:lineRule="auto"/>
        <w:ind w:firstLine="482" w:firstLineChars="200"/>
        <w:rPr>
          <w:rFonts w:hint="eastAsia" w:ascii="仿宋" w:hAnsi="仿宋" w:eastAsia="仿宋" w:cs="仿宋"/>
          <w:kern w:val="44"/>
          <w:sz w:val="24"/>
          <w:highlight w:val="none"/>
        </w:rPr>
      </w:pPr>
      <w:bookmarkStart w:id="2" w:name="_Toc4272"/>
      <w:bookmarkStart w:id="3" w:name="_Toc8034"/>
      <w:bookmarkStart w:id="4" w:name="_Toc19001"/>
      <w:bookmarkStart w:id="5" w:name="_Toc26434"/>
      <w:bookmarkStart w:id="6" w:name="_Toc8056"/>
      <w:bookmarkStart w:id="7" w:name="_Toc25498"/>
      <w:bookmarkStart w:id="8" w:name="_Toc25580"/>
      <w:bookmarkStart w:id="9" w:name="_Toc15573"/>
      <w:bookmarkStart w:id="10" w:name="_Toc16574"/>
      <w:bookmarkStart w:id="11" w:name="_Toc26914"/>
      <w:r>
        <w:rPr>
          <w:rFonts w:hint="eastAsia" w:ascii="仿宋" w:hAnsi="仿宋" w:eastAsia="仿宋" w:cs="仿宋"/>
          <w:b/>
          <w:sz w:val="24"/>
          <w:highlight w:val="none"/>
        </w:rPr>
        <w:t>（2）</w:t>
      </w:r>
      <w:r>
        <w:rPr>
          <w:rFonts w:hint="eastAsia" w:ascii="仿宋" w:hAnsi="仿宋" w:eastAsia="仿宋" w:cs="仿宋"/>
          <w:b/>
          <w:bCs/>
          <w:kern w:val="44"/>
          <w:sz w:val="24"/>
          <w:highlight w:val="none"/>
        </w:rPr>
        <w:t>服务地点：</w:t>
      </w:r>
      <w:r>
        <w:rPr>
          <w:rFonts w:hint="eastAsia" w:ascii="仿宋" w:hAnsi="仿宋" w:eastAsia="仿宋" w:cs="仿宋"/>
          <w:kern w:val="44"/>
          <w:sz w:val="24"/>
          <w:highlight w:val="none"/>
        </w:rPr>
        <w:t>成都市范围内（采购人指定地点）。</w:t>
      </w:r>
    </w:p>
    <w:p w14:paraId="5C38F39C">
      <w:pPr>
        <w:snapToGrid w:val="0"/>
        <w:spacing w:line="312" w:lineRule="auto"/>
        <w:ind w:firstLine="482" w:firstLineChars="200"/>
        <w:rPr>
          <w:rFonts w:hint="eastAsia" w:ascii="仿宋" w:hAnsi="仿宋" w:eastAsia="仿宋" w:cs="仿宋"/>
          <w:kern w:val="0"/>
          <w:sz w:val="24"/>
          <w:highlight w:val="none"/>
        </w:rPr>
      </w:pPr>
      <w:r>
        <w:rPr>
          <w:rFonts w:hint="eastAsia" w:ascii="仿宋" w:hAnsi="仿宋" w:eastAsia="仿宋" w:cs="仿宋"/>
          <w:b/>
          <w:sz w:val="24"/>
          <w:highlight w:val="none"/>
        </w:rPr>
        <w:t>★</w:t>
      </w:r>
      <w:r>
        <w:rPr>
          <w:rFonts w:hint="eastAsia" w:ascii="仿宋" w:hAnsi="仿宋" w:eastAsia="仿宋" w:cs="仿宋"/>
          <w:b/>
          <w:bCs/>
          <w:kern w:val="0"/>
          <w:sz w:val="24"/>
          <w:highlight w:val="none"/>
        </w:rPr>
        <w:t>2、支付方式：</w:t>
      </w:r>
      <w:r>
        <w:rPr>
          <w:rFonts w:hint="eastAsia" w:ascii="仿宋" w:hAnsi="仿宋" w:eastAsia="仿宋" w:cs="仿宋"/>
          <w:kern w:val="0"/>
          <w:sz w:val="24"/>
          <w:highlight w:val="none"/>
        </w:rPr>
        <w:t>分期付清。</w:t>
      </w:r>
    </w:p>
    <w:p w14:paraId="66251943">
      <w:pPr>
        <w:snapToGrid w:val="0"/>
        <w:spacing w:line="312" w:lineRule="auto"/>
        <w:ind w:firstLine="482" w:firstLineChars="200"/>
        <w:rPr>
          <w:rFonts w:hint="eastAsia" w:ascii="仿宋" w:hAnsi="仿宋" w:eastAsia="仿宋" w:cs="仿宋"/>
          <w:bCs/>
          <w:kern w:val="0"/>
          <w:sz w:val="24"/>
          <w:highlight w:val="none"/>
        </w:rPr>
      </w:pPr>
      <w:r>
        <w:rPr>
          <w:rFonts w:hint="eastAsia" w:ascii="仿宋" w:hAnsi="仿宋" w:eastAsia="仿宋" w:cs="仿宋"/>
          <w:b/>
          <w:sz w:val="24"/>
          <w:highlight w:val="none"/>
        </w:rPr>
        <w:t>★</w:t>
      </w:r>
      <w:r>
        <w:rPr>
          <w:rFonts w:hint="eastAsia" w:ascii="仿宋" w:hAnsi="仿宋" w:eastAsia="仿宋" w:cs="仿宋"/>
          <w:b/>
          <w:kern w:val="0"/>
          <w:sz w:val="24"/>
          <w:highlight w:val="none"/>
        </w:rPr>
        <w:t>3、支付约定</w:t>
      </w:r>
      <w:r>
        <w:rPr>
          <w:rFonts w:hint="eastAsia" w:ascii="仿宋" w:hAnsi="仿宋" w:eastAsia="仿宋" w:cs="仿宋"/>
          <w:bCs/>
          <w:kern w:val="0"/>
          <w:sz w:val="24"/>
          <w:highlight w:val="none"/>
        </w:rPr>
        <w:t>：合同签订后，成交人向采购人提供支付凭证资料后支付15日内60%的合同款项；项目实施完毕并验收合格，成交人向采购人提供支付凭证资料后15日内支付剩余40%的合同款项。</w:t>
      </w:r>
    </w:p>
    <w:p w14:paraId="3BA04407">
      <w:pPr>
        <w:snapToGrid w:val="0"/>
        <w:spacing w:line="312" w:lineRule="auto"/>
        <w:ind w:firstLine="482" w:firstLineChars="200"/>
        <w:rPr>
          <w:rFonts w:hint="eastAsia" w:ascii="仿宋" w:hAnsi="仿宋" w:eastAsia="仿宋" w:cs="仿宋"/>
          <w:kern w:val="44"/>
          <w:sz w:val="24"/>
          <w:highlight w:val="none"/>
        </w:rPr>
      </w:pPr>
      <w:r>
        <w:rPr>
          <w:rFonts w:hint="eastAsia" w:ascii="仿宋" w:hAnsi="仿宋" w:eastAsia="仿宋" w:cs="仿宋"/>
          <w:b/>
          <w:sz w:val="24"/>
          <w:highlight w:val="none"/>
        </w:rPr>
        <w:t>★4</w:t>
      </w:r>
      <w:r>
        <w:rPr>
          <w:rFonts w:hint="eastAsia" w:ascii="仿宋" w:hAnsi="仿宋" w:eastAsia="仿宋" w:cs="仿宋"/>
          <w:b/>
          <w:bCs/>
          <w:kern w:val="44"/>
          <w:sz w:val="24"/>
          <w:highlight w:val="none"/>
        </w:rPr>
        <w:t>、合同价款：</w:t>
      </w:r>
      <w:r>
        <w:rPr>
          <w:rFonts w:hint="eastAsia" w:ascii="仿宋" w:hAnsi="仿宋" w:eastAsia="仿宋" w:cs="仿宋"/>
          <w:kern w:val="44"/>
          <w:sz w:val="24"/>
          <w:highlight w:val="none"/>
        </w:rPr>
        <w:t>报价应是完成本项目所有采购内容和磋商文件规定的全部费用。</w:t>
      </w:r>
      <w:bookmarkStart w:id="12" w:name="_Toc28829"/>
      <w:bookmarkStart w:id="13" w:name="_Toc32743"/>
    </w:p>
    <w:p w14:paraId="5A4A5262">
      <w:pPr>
        <w:snapToGrid w:val="0"/>
        <w:spacing w:line="312" w:lineRule="auto"/>
        <w:ind w:firstLine="482" w:firstLineChars="200"/>
        <w:rPr>
          <w:rFonts w:hint="eastAsia" w:ascii="仿宋" w:hAnsi="仿宋" w:eastAsia="仿宋" w:cs="仿宋"/>
          <w:b/>
          <w:bCs/>
          <w:kern w:val="0"/>
          <w:sz w:val="24"/>
          <w:highlight w:val="none"/>
        </w:rPr>
      </w:pPr>
      <w:r>
        <w:rPr>
          <w:rFonts w:hint="eastAsia" w:ascii="仿宋" w:hAnsi="仿宋" w:eastAsia="仿宋" w:cs="仿宋"/>
          <w:b/>
          <w:sz w:val="24"/>
          <w:highlight w:val="none"/>
        </w:rPr>
        <w:t>★</w:t>
      </w:r>
      <w:r>
        <w:rPr>
          <w:rFonts w:hint="eastAsia" w:ascii="仿宋" w:hAnsi="仿宋" w:eastAsia="仿宋" w:cs="仿宋"/>
          <w:b/>
          <w:bCs/>
          <w:kern w:val="0"/>
          <w:sz w:val="24"/>
          <w:highlight w:val="none"/>
        </w:rPr>
        <w:t>5、</w:t>
      </w:r>
      <w:bookmarkEnd w:id="12"/>
      <w:bookmarkEnd w:id="13"/>
      <w:bookmarkStart w:id="14" w:name="_Toc821"/>
      <w:bookmarkStart w:id="15" w:name="_Toc13673"/>
      <w:r>
        <w:rPr>
          <w:rFonts w:hint="eastAsia" w:ascii="仿宋" w:hAnsi="仿宋" w:eastAsia="仿宋" w:cs="仿宋"/>
          <w:b/>
          <w:bCs/>
          <w:kern w:val="0"/>
          <w:sz w:val="24"/>
          <w:highlight w:val="none"/>
        </w:rPr>
        <w:t>验收标准和方法：</w:t>
      </w:r>
    </w:p>
    <w:p w14:paraId="79D21C1A">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kern w:val="0"/>
          <w:sz w:val="24"/>
          <w:highlight w:val="none"/>
        </w:rPr>
        <w:t xml:space="preserve">1）验收组织方式：采购人自行验收 </w:t>
      </w:r>
    </w:p>
    <w:p w14:paraId="33E1822F">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kern w:val="0"/>
          <w:sz w:val="24"/>
          <w:highlight w:val="none"/>
        </w:rPr>
        <w:t>2）是否邀请本项目的其他供应商：</w:t>
      </w:r>
      <w:r>
        <w:rPr>
          <w:rFonts w:hint="eastAsia" w:ascii="仿宋" w:hAnsi="仿宋" w:eastAsia="仿宋" w:cs="仿宋"/>
          <w:color w:val="000000"/>
          <w:sz w:val="24"/>
          <w:highlight w:val="none"/>
        </w:rPr>
        <w:t>□是  ☑否</w:t>
      </w:r>
    </w:p>
    <w:p w14:paraId="516F614D">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kern w:val="0"/>
          <w:sz w:val="24"/>
          <w:highlight w:val="none"/>
        </w:rPr>
        <w:t>3）是否邀请专家：</w:t>
      </w:r>
      <w:r>
        <w:rPr>
          <w:rFonts w:hint="eastAsia" w:ascii="仿宋" w:hAnsi="仿宋" w:eastAsia="仿宋" w:cs="仿宋"/>
          <w:color w:val="000000"/>
          <w:sz w:val="24"/>
          <w:highlight w:val="none"/>
        </w:rPr>
        <w:t>□是  ☑否</w:t>
      </w:r>
    </w:p>
    <w:p w14:paraId="655E7A3A">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kern w:val="0"/>
          <w:sz w:val="24"/>
          <w:highlight w:val="none"/>
        </w:rPr>
        <w:t>4）是否邀请服务对象：</w:t>
      </w:r>
      <w:r>
        <w:rPr>
          <w:rFonts w:hint="eastAsia" w:ascii="仿宋" w:hAnsi="仿宋" w:eastAsia="仿宋" w:cs="仿宋"/>
          <w:color w:val="000000"/>
          <w:sz w:val="24"/>
          <w:highlight w:val="none"/>
        </w:rPr>
        <w:t>□是  ☑否</w:t>
      </w:r>
    </w:p>
    <w:p w14:paraId="5AF55881">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kern w:val="0"/>
          <w:sz w:val="24"/>
          <w:highlight w:val="none"/>
        </w:rPr>
        <w:t>5）是否邀请第三方检测机构：</w:t>
      </w:r>
      <w:r>
        <w:rPr>
          <w:rFonts w:hint="eastAsia" w:ascii="仿宋" w:hAnsi="仿宋" w:eastAsia="仿宋" w:cs="仿宋"/>
          <w:color w:val="000000"/>
          <w:sz w:val="24"/>
          <w:highlight w:val="none"/>
        </w:rPr>
        <w:t>□是  ☑否</w:t>
      </w:r>
    </w:p>
    <w:p w14:paraId="7CD00735">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kern w:val="0"/>
          <w:sz w:val="24"/>
          <w:highlight w:val="none"/>
        </w:rPr>
        <w:t>6）履约验收程序：一次性验收</w:t>
      </w:r>
    </w:p>
    <w:p w14:paraId="5E38C616">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kern w:val="0"/>
          <w:sz w:val="24"/>
          <w:highlight w:val="none"/>
        </w:rPr>
        <w:t xml:space="preserve">7）履约验收时间：成交人提出验收申请之日起7日内组织验收 </w:t>
      </w:r>
    </w:p>
    <w:p w14:paraId="0E2ECAAB">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kern w:val="0"/>
          <w:sz w:val="24"/>
          <w:highlight w:val="none"/>
        </w:rPr>
        <w:t xml:space="preserve">8）验收组织的其他事项：无 </w:t>
      </w:r>
    </w:p>
    <w:p w14:paraId="02E4DB59">
      <w:pPr>
        <w:snapToGrid w:val="0"/>
        <w:spacing w:line="312" w:lineRule="auto"/>
        <w:ind w:firstLine="480" w:firstLineChars="200"/>
        <w:rPr>
          <w:rFonts w:hint="eastAsia" w:ascii="仿宋" w:hAnsi="仿宋" w:eastAsia="仿宋" w:cs="仿宋"/>
          <w:kern w:val="0"/>
          <w:sz w:val="24"/>
        </w:rPr>
      </w:pPr>
      <w:r>
        <w:rPr>
          <w:rFonts w:hint="eastAsia" w:ascii="仿宋" w:hAnsi="仿宋" w:eastAsia="仿宋" w:cs="仿宋"/>
          <w:bCs/>
          <w:kern w:val="0"/>
          <w:sz w:val="24"/>
        </w:rPr>
        <w:t>（</w:t>
      </w:r>
      <w:r>
        <w:rPr>
          <w:rFonts w:hint="eastAsia" w:ascii="仿宋" w:hAnsi="仿宋" w:eastAsia="仿宋" w:cs="仿宋"/>
          <w:kern w:val="0"/>
          <w:sz w:val="24"/>
        </w:rPr>
        <w:t xml:space="preserve">9）技术履约验收内容：按照本项目采购文件中“技术、服务要求”及成交人响应文件进行验收。 </w:t>
      </w:r>
    </w:p>
    <w:p w14:paraId="298C19BD">
      <w:pPr>
        <w:snapToGrid w:val="0"/>
        <w:spacing w:line="312" w:lineRule="auto"/>
        <w:ind w:firstLine="480" w:firstLineChars="200"/>
        <w:rPr>
          <w:rFonts w:hint="eastAsia" w:ascii="仿宋" w:hAnsi="仿宋" w:eastAsia="仿宋" w:cs="仿宋"/>
          <w:kern w:val="0"/>
          <w:sz w:val="24"/>
        </w:rPr>
      </w:pPr>
      <w:r>
        <w:rPr>
          <w:rFonts w:hint="eastAsia" w:ascii="仿宋" w:hAnsi="仿宋" w:eastAsia="仿宋" w:cs="仿宋"/>
          <w:bCs/>
          <w:kern w:val="0"/>
          <w:sz w:val="24"/>
        </w:rPr>
        <w:t>（</w:t>
      </w:r>
      <w:r>
        <w:rPr>
          <w:rFonts w:hint="eastAsia" w:ascii="仿宋" w:hAnsi="仿宋" w:eastAsia="仿宋" w:cs="仿宋"/>
          <w:kern w:val="0"/>
          <w:sz w:val="24"/>
        </w:rPr>
        <w:t xml:space="preserve">10）商务履约验收内容：按照本项目采购文件中“商务要求”及成交人响应文件进行验收。 </w:t>
      </w:r>
    </w:p>
    <w:p w14:paraId="30DB9112">
      <w:pPr>
        <w:snapToGrid w:val="0"/>
        <w:spacing w:line="312" w:lineRule="auto"/>
        <w:ind w:firstLine="480" w:firstLineChars="200"/>
        <w:rPr>
          <w:rFonts w:hint="eastAsia" w:ascii="仿宋" w:hAnsi="仿宋" w:eastAsia="仿宋" w:cs="仿宋"/>
          <w:kern w:val="0"/>
          <w:sz w:val="24"/>
        </w:rPr>
      </w:pPr>
      <w:r>
        <w:rPr>
          <w:rFonts w:hint="eastAsia" w:ascii="仿宋" w:hAnsi="仿宋" w:eastAsia="仿宋" w:cs="仿宋"/>
          <w:bCs/>
          <w:kern w:val="0"/>
          <w:sz w:val="24"/>
        </w:rPr>
        <w:t>（</w:t>
      </w:r>
      <w:r>
        <w:rPr>
          <w:rFonts w:hint="eastAsia" w:ascii="仿宋" w:hAnsi="仿宋" w:eastAsia="仿宋" w:cs="仿宋"/>
          <w:kern w:val="0"/>
          <w:sz w:val="24"/>
        </w:rPr>
        <w:t>11）履约验收标准：参照《财政部关于进一步加强政府采购需求和履约验收管理的指导意见》（财库〔2016〕205号）、《政府采购需求管理办法》（财库〔2021〕22号）的要求进行验收。</w:t>
      </w:r>
    </w:p>
    <w:p w14:paraId="135E350A">
      <w:pPr>
        <w:snapToGrid w:val="0"/>
        <w:spacing w:line="312" w:lineRule="auto"/>
        <w:ind w:firstLine="480" w:firstLineChars="200"/>
        <w:rPr>
          <w:rFonts w:hint="eastAsia" w:ascii="仿宋" w:hAnsi="仿宋" w:eastAsia="仿宋" w:cs="仿宋"/>
          <w:kern w:val="0"/>
          <w:sz w:val="24"/>
        </w:rPr>
      </w:pPr>
      <w:r>
        <w:rPr>
          <w:rFonts w:hint="eastAsia" w:ascii="仿宋" w:hAnsi="仿宋" w:eastAsia="仿宋" w:cs="仿宋"/>
          <w:bCs/>
          <w:kern w:val="0"/>
          <w:sz w:val="24"/>
        </w:rPr>
        <w:t>（</w:t>
      </w:r>
      <w:r>
        <w:rPr>
          <w:rFonts w:hint="eastAsia" w:ascii="仿宋" w:hAnsi="仿宋" w:eastAsia="仿宋" w:cs="仿宋"/>
          <w:kern w:val="0"/>
          <w:sz w:val="24"/>
        </w:rPr>
        <w:t>12）履约验收其他事项：无。</w:t>
      </w:r>
    </w:p>
    <w:bookmarkEnd w:id="14"/>
    <w:bookmarkEnd w:id="15"/>
    <w:p w14:paraId="32C018ED">
      <w:pPr>
        <w:snapToGrid w:val="0"/>
        <w:spacing w:line="312" w:lineRule="auto"/>
        <w:ind w:firstLine="482" w:firstLineChars="200"/>
        <w:rPr>
          <w:rFonts w:hint="eastAsia" w:ascii="仿宋" w:hAnsi="仿宋" w:eastAsia="仿宋" w:cs="仿宋"/>
          <w:b/>
          <w:sz w:val="24"/>
        </w:rPr>
      </w:pPr>
      <w:r>
        <w:rPr>
          <w:rFonts w:hint="eastAsia" w:ascii="仿宋" w:hAnsi="仿宋" w:eastAsia="仿宋" w:cs="仿宋"/>
          <w:b/>
          <w:sz w:val="24"/>
        </w:rPr>
        <w:t>6、包装方式和运输</w:t>
      </w:r>
      <w:bookmarkEnd w:id="2"/>
      <w:bookmarkEnd w:id="3"/>
      <w:bookmarkEnd w:id="4"/>
    </w:p>
    <w:p w14:paraId="0285564C">
      <w:pPr>
        <w:snapToGrid w:val="0"/>
        <w:spacing w:line="312" w:lineRule="auto"/>
        <w:ind w:firstLine="482" w:firstLineChars="200"/>
        <w:rPr>
          <w:rFonts w:hint="eastAsia" w:ascii="仿宋" w:hAnsi="仿宋" w:eastAsia="仿宋" w:cs="仿宋"/>
          <w:kern w:val="0"/>
          <w:sz w:val="24"/>
        </w:rPr>
      </w:pPr>
      <w:bookmarkStart w:id="16" w:name="_Toc31968"/>
      <w:bookmarkStart w:id="17" w:name="_Toc17036"/>
      <w:bookmarkStart w:id="18" w:name="_Toc9737"/>
      <w:bookmarkStart w:id="19" w:name="_Toc23217"/>
      <w:r>
        <w:rPr>
          <w:rFonts w:hint="eastAsia" w:ascii="仿宋" w:hAnsi="仿宋" w:eastAsia="仿宋" w:cs="仿宋"/>
          <w:b/>
          <w:sz w:val="24"/>
        </w:rPr>
        <w:t>★</w:t>
      </w:r>
      <w:r>
        <w:rPr>
          <w:rFonts w:hint="eastAsia" w:ascii="仿宋" w:hAnsi="仿宋" w:eastAsia="仿宋" w:cs="仿宋"/>
          <w:kern w:val="0"/>
          <w:sz w:val="24"/>
        </w:rPr>
        <w:t>（1）成交人</w:t>
      </w:r>
      <w:bookmarkEnd w:id="16"/>
      <w:bookmarkEnd w:id="17"/>
      <w:bookmarkEnd w:id="18"/>
      <w:bookmarkEnd w:id="19"/>
      <w:r>
        <w:rPr>
          <w:rFonts w:hint="eastAsia" w:ascii="仿宋" w:hAnsi="仿宋" w:eastAsia="仿宋" w:cs="仿宋"/>
          <w:kern w:val="0"/>
          <w:sz w:val="24"/>
        </w:rPr>
        <w:t>应符合《商品包装政府采购需求标准（试行）》、《快递包装政府采购需求标准（试行）》（财办库〔2020〕123号）的要求进行产品及相关快递服务的包装。</w:t>
      </w:r>
    </w:p>
    <w:p w14:paraId="2A8518A4">
      <w:pPr>
        <w:snapToGrid w:val="0"/>
        <w:spacing w:line="312" w:lineRule="auto"/>
        <w:ind w:firstLine="482" w:firstLineChars="200"/>
        <w:rPr>
          <w:rFonts w:hint="eastAsia" w:ascii="仿宋" w:hAnsi="仿宋" w:eastAsia="仿宋" w:cs="仿宋"/>
          <w:b/>
          <w:sz w:val="24"/>
        </w:rPr>
      </w:pPr>
      <w:bookmarkStart w:id="20" w:name="_Toc29648"/>
      <w:bookmarkStart w:id="21" w:name="_Toc30165"/>
      <w:bookmarkStart w:id="22" w:name="_Toc1436"/>
      <w:r>
        <w:rPr>
          <w:rFonts w:hint="eastAsia" w:ascii="仿宋" w:hAnsi="仿宋" w:eastAsia="仿宋" w:cs="仿宋"/>
          <w:b/>
          <w:sz w:val="24"/>
        </w:rPr>
        <w:t>7、保险</w:t>
      </w:r>
      <w:bookmarkEnd w:id="5"/>
      <w:bookmarkEnd w:id="6"/>
      <w:bookmarkEnd w:id="7"/>
      <w:bookmarkEnd w:id="8"/>
      <w:bookmarkEnd w:id="9"/>
      <w:bookmarkEnd w:id="10"/>
      <w:bookmarkEnd w:id="11"/>
      <w:bookmarkEnd w:id="20"/>
      <w:bookmarkEnd w:id="21"/>
      <w:bookmarkEnd w:id="22"/>
    </w:p>
    <w:p w14:paraId="4A671411">
      <w:pPr>
        <w:snapToGrid w:val="0"/>
        <w:spacing w:line="312" w:lineRule="auto"/>
        <w:ind w:firstLine="480" w:firstLineChars="200"/>
        <w:rPr>
          <w:rFonts w:hint="eastAsia" w:ascii="仿宋" w:hAnsi="仿宋" w:eastAsia="仿宋" w:cs="仿宋"/>
          <w:kern w:val="0"/>
          <w:sz w:val="24"/>
        </w:rPr>
      </w:pPr>
      <w:r>
        <w:rPr>
          <w:rFonts w:hint="eastAsia" w:ascii="仿宋" w:hAnsi="仿宋" w:eastAsia="仿宋" w:cs="仿宋"/>
          <w:kern w:val="0"/>
          <w:sz w:val="24"/>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14:paraId="34A0F6D2">
      <w:pPr>
        <w:snapToGrid w:val="0"/>
        <w:spacing w:line="312" w:lineRule="auto"/>
        <w:ind w:firstLine="480" w:firstLineChars="200"/>
        <w:rPr>
          <w:rFonts w:hint="eastAsia" w:ascii="仿宋" w:hAnsi="仿宋" w:eastAsia="仿宋" w:cs="仿宋"/>
          <w:kern w:val="0"/>
          <w:sz w:val="24"/>
        </w:rPr>
      </w:pPr>
      <w:r>
        <w:rPr>
          <w:rFonts w:hint="eastAsia" w:ascii="仿宋" w:hAnsi="仿宋" w:eastAsia="仿宋" w:cs="仿宋"/>
          <w:kern w:val="0"/>
          <w:sz w:val="24"/>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2350ECA8">
      <w:pPr>
        <w:pStyle w:val="6"/>
        <w:snapToGrid w:val="0"/>
        <w:spacing w:line="312" w:lineRule="auto"/>
        <w:ind w:firstLine="482" w:firstLineChars="200"/>
        <w:rPr>
          <w:rFonts w:hint="eastAsia" w:ascii="仿宋" w:hAnsi="仿宋" w:eastAsia="仿宋" w:cs="仿宋"/>
          <w:sz w:val="24"/>
          <w:szCs w:val="24"/>
        </w:rPr>
      </w:pPr>
      <w:bookmarkStart w:id="23" w:name="_Toc14109"/>
      <w:bookmarkStart w:id="24" w:name="_Toc27313"/>
      <w:bookmarkStart w:id="25" w:name="_Toc13362"/>
      <w:bookmarkStart w:id="26" w:name="_Toc20781"/>
      <w:bookmarkStart w:id="27" w:name="_Toc8092"/>
      <w:bookmarkStart w:id="28" w:name="_Toc13746"/>
      <w:bookmarkStart w:id="29" w:name="_Toc14685"/>
      <w:bookmarkStart w:id="30" w:name="_Toc11570"/>
      <w:bookmarkStart w:id="31" w:name="_Toc2218"/>
      <w:bookmarkStart w:id="32" w:name="_Toc12073"/>
      <w:bookmarkStart w:id="33" w:name="_Toc22026"/>
      <w:bookmarkStart w:id="34" w:name="_Toc32726"/>
      <w:bookmarkStart w:id="35" w:name="_Toc32286_WPSOffice_Level2"/>
      <w:r>
        <w:rPr>
          <w:rFonts w:hint="eastAsia" w:ascii="仿宋" w:hAnsi="仿宋" w:eastAsia="仿宋" w:cs="仿宋"/>
          <w:b/>
          <w:sz w:val="24"/>
        </w:rPr>
        <w:t>★8、知识产权归属和处理方式：</w:t>
      </w:r>
      <w:r>
        <w:rPr>
          <w:rFonts w:hint="eastAsia" w:ascii="仿宋" w:hAnsi="仿宋" w:eastAsia="仿宋" w:cs="仿宋"/>
          <w:sz w:val="24"/>
          <w:szCs w:val="24"/>
        </w:rPr>
        <w:t>采购人享有本项目实施过程中产生的知识成果及知识产权。</w:t>
      </w:r>
    </w:p>
    <w:p w14:paraId="677E3A61">
      <w:pPr>
        <w:snapToGrid w:val="0"/>
        <w:spacing w:line="312" w:lineRule="auto"/>
        <w:ind w:left="479" w:leftChars="228"/>
        <w:rPr>
          <w:rFonts w:hint="eastAsia" w:ascii="仿宋" w:hAnsi="仿宋" w:eastAsia="仿宋" w:cs="仿宋"/>
          <w:b/>
          <w:bCs/>
          <w:sz w:val="24"/>
        </w:rPr>
      </w:pPr>
      <w:r>
        <w:rPr>
          <w:rFonts w:hint="eastAsia" w:ascii="仿宋" w:hAnsi="仿宋" w:eastAsia="仿宋" w:cs="仿宋"/>
          <w:b/>
          <w:bCs/>
          <w:sz w:val="24"/>
        </w:rPr>
        <w:t>9、违约责任与解决争议的办法</w:t>
      </w:r>
    </w:p>
    <w:p w14:paraId="6E45F863">
      <w:pPr>
        <w:snapToGrid w:val="0"/>
        <w:spacing w:line="312" w:lineRule="auto"/>
        <w:ind w:left="479" w:leftChars="228"/>
        <w:rPr>
          <w:rFonts w:hint="eastAsia" w:ascii="仿宋" w:hAnsi="仿宋" w:eastAsia="仿宋" w:cs="仿宋"/>
          <w:b/>
          <w:bCs/>
          <w:sz w:val="24"/>
        </w:rPr>
      </w:pPr>
      <w:r>
        <w:rPr>
          <w:rFonts w:hint="eastAsia" w:ascii="仿宋" w:hAnsi="仿宋" w:eastAsia="仿宋" w:cs="仿宋"/>
          <w:b/>
          <w:bCs/>
          <w:sz w:val="24"/>
        </w:rPr>
        <w:t>（1）违约责任</w:t>
      </w:r>
    </w:p>
    <w:p w14:paraId="3FEDE8BB">
      <w:pPr>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1）双方必须遵守采购合同并执行采购合同中的各项规定，保证采购合同的正常履行。</w:t>
      </w:r>
    </w:p>
    <w:p w14:paraId="21B17D7E">
      <w:pPr>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0F36510D">
      <w:pPr>
        <w:pStyle w:val="9"/>
        <w:snapToGrid w:val="0"/>
        <w:spacing w:line="312" w:lineRule="auto"/>
        <w:ind w:firstLine="482" w:firstLineChars="200"/>
        <w:jc w:val="both"/>
        <w:rPr>
          <w:rFonts w:hint="eastAsia" w:ascii="仿宋" w:hAnsi="仿宋" w:eastAsia="仿宋" w:cs="仿宋"/>
          <w:b/>
          <w:bCs/>
        </w:rPr>
      </w:pPr>
      <w:r>
        <w:rPr>
          <w:rFonts w:hint="eastAsia" w:ascii="仿宋" w:hAnsi="仿宋" w:eastAsia="仿宋" w:cs="仿宋"/>
          <w:b/>
          <w:bCs/>
        </w:rPr>
        <w:t>（2）</w:t>
      </w:r>
      <w:r>
        <w:rPr>
          <w:rFonts w:hint="eastAsia" w:ascii="仿宋" w:hAnsi="仿宋" w:eastAsia="仿宋" w:cs="仿宋"/>
          <w:b/>
          <w:color w:val="000000"/>
        </w:rPr>
        <w:t>解决争议的办法</w:t>
      </w:r>
    </w:p>
    <w:p w14:paraId="25D4A603">
      <w:pPr>
        <w:pStyle w:val="9"/>
        <w:snapToGrid w:val="0"/>
        <w:spacing w:line="312" w:lineRule="auto"/>
        <w:ind w:firstLine="480" w:firstLineChars="200"/>
        <w:jc w:val="both"/>
        <w:rPr>
          <w:rFonts w:hint="eastAsia" w:ascii="仿宋" w:hAnsi="仿宋" w:eastAsia="仿宋" w:cs="仿宋"/>
        </w:rPr>
      </w:pPr>
      <w:r>
        <w:rPr>
          <w:rFonts w:hint="eastAsia" w:ascii="仿宋" w:hAnsi="仿宋" w:eastAsia="仿宋" w:cs="仿宋"/>
          <w:color w:val="000000"/>
        </w:rPr>
        <w:t>合同履行期间,若双方发生争议，可协商或由有关部门调解解决，协商或调解不成的，由当事人依法向采购人所在地有管辖权的法院提起诉讼维护其合法权益。</w:t>
      </w:r>
    </w:p>
    <w:p w14:paraId="7EF54870">
      <w:pPr>
        <w:snapToGrid w:val="0"/>
        <w:spacing w:line="312" w:lineRule="auto"/>
        <w:ind w:firstLine="482" w:firstLineChars="200"/>
        <w:rPr>
          <w:rFonts w:hint="eastAsia" w:ascii="仿宋" w:hAnsi="仿宋" w:eastAsia="仿宋" w:cs="仿宋"/>
          <w:b/>
          <w:sz w:val="24"/>
        </w:rPr>
      </w:pPr>
      <w:r>
        <w:rPr>
          <w:rFonts w:hint="eastAsia" w:ascii="仿宋" w:hAnsi="仿宋" w:eastAsia="仿宋" w:cs="仿宋"/>
          <w:b/>
          <w:sz w:val="24"/>
        </w:rPr>
        <w:t>10、其他要求</w:t>
      </w:r>
      <w:bookmarkEnd w:id="23"/>
      <w:bookmarkEnd w:id="24"/>
      <w:bookmarkEnd w:id="25"/>
      <w:bookmarkEnd w:id="26"/>
      <w:bookmarkEnd w:id="27"/>
      <w:bookmarkEnd w:id="28"/>
      <w:bookmarkEnd w:id="29"/>
      <w:bookmarkEnd w:id="30"/>
      <w:bookmarkEnd w:id="31"/>
      <w:bookmarkEnd w:id="32"/>
      <w:bookmarkEnd w:id="33"/>
      <w:bookmarkEnd w:id="34"/>
      <w:bookmarkEnd w:id="35"/>
    </w:p>
    <w:p w14:paraId="271E93F5">
      <w:pPr>
        <w:pStyle w:val="10"/>
        <w:tabs>
          <w:tab w:val="left" w:pos="0"/>
          <w:tab w:val="left" w:pos="1134"/>
        </w:tabs>
        <w:snapToGrid w:val="0"/>
        <w:spacing w:line="312" w:lineRule="auto"/>
        <w:ind w:firstLine="480"/>
        <w:rPr>
          <w:rFonts w:hint="eastAsia" w:ascii="仿宋" w:hAnsi="仿宋" w:eastAsia="仿宋" w:cs="仿宋"/>
          <w:kern w:val="0"/>
          <w:sz w:val="24"/>
        </w:rPr>
      </w:pPr>
      <w:r>
        <w:rPr>
          <w:rFonts w:hint="eastAsia" w:ascii="仿宋" w:hAnsi="仿宋" w:eastAsia="仿宋" w:cs="仿宋"/>
          <w:kern w:val="0"/>
          <w:sz w:val="24"/>
        </w:rPr>
        <w:t>（1）供应商应建立良好的项目实施质量管理、职业健康安全管理以及环境管理体系，保障项目实施质量以及相关人员健康安全和实施环境安全。</w:t>
      </w:r>
    </w:p>
    <w:p w14:paraId="548064AD">
      <w:pPr>
        <w:pStyle w:val="11"/>
        <w:widowControl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rPr>
        <w:t>供应商应为本项目配备项目实施相关人员，</w:t>
      </w:r>
      <w:r>
        <w:rPr>
          <w:rFonts w:hint="eastAsia" w:ascii="仿宋" w:hAnsi="仿宋" w:eastAsia="仿宋" w:cs="仿宋"/>
          <w:sz w:val="24"/>
          <w:szCs w:val="24"/>
        </w:rPr>
        <w:t>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40AED2BC">
      <w:pPr>
        <w:pStyle w:val="11"/>
        <w:widowControl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（3）供应商在项目执行过程中定期及时向采购人通告本项目的重大事项及其进度。</w:t>
      </w:r>
    </w:p>
    <w:p w14:paraId="3D99181F">
      <w:pPr>
        <w:pStyle w:val="4"/>
        <w:snapToGrid w:val="0"/>
        <w:spacing w:after="0" w:line="312" w:lineRule="auto"/>
        <w:ind w:firstLine="480" w:firstLineChars="200"/>
        <w:rPr>
          <w:rFonts w:hint="eastAsia" w:ascii="仿宋" w:hAnsi="仿宋" w:eastAsia="仿宋" w:cs="仿宋"/>
          <w:sz w:val="24"/>
        </w:rPr>
      </w:pPr>
      <w:r>
        <w:rPr>
          <w:rFonts w:hint="eastAsia" w:ascii="仿宋" w:hAnsi="仿宋" w:eastAsia="仿宋" w:cs="仿宋"/>
          <w:sz w:val="24"/>
        </w:rPr>
        <w:t>（4）接受项目行业管理部门及政府有关部门的指导，接受采购人的监督。</w:t>
      </w:r>
    </w:p>
    <w:p w14:paraId="1997BDC4">
      <w:pPr>
        <w:pStyle w:val="4"/>
        <w:snapToGrid w:val="0"/>
        <w:spacing w:after="0" w:line="312" w:lineRule="auto"/>
        <w:ind w:firstLine="480" w:firstLineChars="200"/>
        <w:rPr>
          <w:rFonts w:hint="eastAsia" w:eastAsia="仿宋"/>
        </w:rPr>
      </w:pPr>
      <w:r>
        <w:rPr>
          <w:rFonts w:hint="eastAsia" w:ascii="仿宋" w:hAnsi="仿宋" w:eastAsia="仿宋" w:cs="仿宋"/>
          <w:sz w:val="24"/>
        </w:rPr>
        <w:t>（5）</w:t>
      </w:r>
      <w:r>
        <w:rPr>
          <w:rFonts w:hint="eastAsia" w:ascii="仿宋" w:hAnsi="仿宋" w:eastAsia="仿宋" w:cs="仿宋"/>
          <w:bCs/>
          <w:sz w:val="24"/>
        </w:rPr>
        <w:t>供应商应结合本项目采购需求编制项目实施方案，包括：①工作前期准备；②工作进度计划；③工作重点、难点分析及对策；④服务质量保证措施；⑤人员配置方案；⑥应急预案。</w:t>
      </w:r>
    </w:p>
    <w:bookmarkEnd w:id="1"/>
    <w:p w14:paraId="011574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76613"/>
    <w:rsid w:val="5687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宋体"/>
      <w:szCs w:val="24"/>
    </w:rPr>
  </w:style>
  <w:style w:type="paragraph" w:styleId="4">
    <w:name w:val="Body Text"/>
    <w:basedOn w:val="1"/>
    <w:next w:val="5"/>
    <w:qFormat/>
    <w:uiPriority w:val="0"/>
    <w:pPr>
      <w:spacing w:after="120"/>
    </w:pPr>
    <w:rPr>
      <w:rFonts w:ascii="Times New Roman" w:hAnsi="Times New Roman" w:eastAsia="宋体" w:cs="Times New Roman"/>
      <w:szCs w:val="24"/>
    </w:rPr>
  </w:style>
  <w:style w:type="paragraph" w:styleId="5">
    <w:name w:val="Body Text First Indent"/>
    <w:basedOn w:val="4"/>
    <w:next w:val="1"/>
    <w:unhideWhenUsed/>
    <w:qFormat/>
    <w:uiPriority w:val="99"/>
    <w:pPr>
      <w:ind w:firstLine="420" w:firstLineChars="100"/>
    </w:pPr>
    <w:rPr>
      <w:rFonts w:ascii="等线" w:hAnsi="等线" w:eastAsia="等线" w:cs="Times New Roman"/>
      <w:szCs w:val="22"/>
    </w:rPr>
  </w:style>
  <w:style w:type="paragraph" w:styleId="6">
    <w:name w:val="Body Text Indent"/>
    <w:basedOn w:val="1"/>
    <w:qFormat/>
    <w:uiPriority w:val="0"/>
    <w:pPr>
      <w:ind w:firstLine="630"/>
    </w:pPr>
    <w:rPr>
      <w:rFonts w:eastAsia="宋体"/>
      <w:sz w:val="32"/>
    </w:r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
    <w:name w:val="正文（绿盟科技）"/>
    <w:next w:val="1"/>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2025-06-24T08:27:00Z</dcterms:created>
  <dc:creator>admin</dc:creator>
  <cp:lastModifiedBy>admin</cp:lastModifiedBy>
  <dcterms:modified xsi:type="dcterms:W3CDTF">2025-06-24T08:28:53Z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197789163908472A8978D09E995A67BB_11</vt:lpwstr>
  </property>
  <property fmtid="{D5CDD505-2E9C-101B-9397-08002B2CF9AE}" pid="4" name="KSOTemplateDocerSaveRecord">
    <vt:lpwstr>eyJoZGlkIjoiMjNiNGJiYWRkMGJmMTdjZTEzY2Y3OTgwMDZjMGI0MTEiLCJ1c2VySWQiOiIzOTA3OTIwODQifQ==</vt:lpwstr>
  </property>
</Properties>
</file>